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0" w:rsidRPr="001E66B0" w:rsidRDefault="001E66B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1E66B0">
        <w:rPr>
          <w:b/>
          <w:bCs/>
          <w:sz w:val="22"/>
        </w:rPr>
        <w:t>SKUODO RAJONO SAVIVALDYBĖS PEDAGOGINĖ PSICHOLOGINĖ TARNYBA</w:t>
      </w:r>
    </w:p>
    <w:p w:rsidR="00377A50" w:rsidRPr="006713E2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</w:p>
    <w:p w:rsidR="00377A50" w:rsidRDefault="00377A50" w:rsidP="00F2577E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 w:rsidRPr="006713E2">
        <w:rPr>
          <w:b/>
          <w:bCs/>
          <w:sz w:val="22"/>
        </w:rPr>
        <w:t>20</w:t>
      </w:r>
      <w:r w:rsidR="00CF2696">
        <w:rPr>
          <w:b/>
          <w:bCs/>
          <w:sz w:val="22"/>
        </w:rPr>
        <w:t>20</w:t>
      </w:r>
      <w:r w:rsidRPr="006713E2">
        <w:rPr>
          <w:b/>
          <w:bCs/>
          <w:sz w:val="22"/>
        </w:rPr>
        <w:t xml:space="preserve"> METŲ VEIKLOS ATASKAITA</w:t>
      </w:r>
    </w:p>
    <w:p w:rsidR="00377A50" w:rsidRPr="00F2577E" w:rsidRDefault="00CF2696" w:rsidP="00F2577E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sz w:val="22"/>
        </w:rPr>
      </w:pPr>
      <w:r>
        <w:rPr>
          <w:b/>
          <w:bCs/>
          <w:sz w:val="22"/>
        </w:rPr>
        <w:t>2021 02</w:t>
      </w:r>
      <w:r w:rsidR="00D43FD9">
        <w:rPr>
          <w:b/>
          <w:bCs/>
          <w:sz w:val="22"/>
        </w:rPr>
        <w:t xml:space="preserve"> 26</w:t>
      </w:r>
    </w:p>
    <w:p w:rsidR="001E66B0" w:rsidRPr="001E66B0" w:rsidRDefault="001E66B0" w:rsidP="001E66B0">
      <w:pPr>
        <w:suppressAutoHyphens/>
        <w:autoSpaceDN w:val="0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>Skuodas</w:t>
      </w: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sz w:val="18"/>
          <w:szCs w:val="18"/>
        </w:rPr>
      </w:pPr>
    </w:p>
    <w:p w:rsidR="00377A50" w:rsidRPr="006713E2" w:rsidRDefault="00377A50" w:rsidP="00377A50">
      <w:pPr>
        <w:keepLines/>
        <w:tabs>
          <w:tab w:val="left" w:pos="7020"/>
        </w:tabs>
        <w:suppressAutoHyphens/>
        <w:autoSpaceDN w:val="0"/>
        <w:jc w:val="center"/>
        <w:textAlignment w:val="baseline"/>
        <w:rPr>
          <w:b/>
          <w:bCs/>
          <w:i/>
          <w:sz w:val="22"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VADOVO ŽODIS</w:t>
      </w:r>
    </w:p>
    <w:p w:rsidR="00260AEE" w:rsidRDefault="00260AEE" w:rsidP="00377A50">
      <w:pPr>
        <w:suppressAutoHyphens/>
        <w:autoSpaceDN w:val="0"/>
        <w:jc w:val="both"/>
        <w:textAlignment w:val="baseline"/>
        <w:rPr>
          <w:b/>
        </w:rPr>
      </w:pPr>
    </w:p>
    <w:p w:rsidR="00377A50" w:rsidRPr="00141606" w:rsidRDefault="00260AEE" w:rsidP="00141606">
      <w:pPr>
        <w:suppressAutoHyphens/>
        <w:autoSpaceDN w:val="0"/>
        <w:ind w:firstLine="1298"/>
        <w:jc w:val="both"/>
        <w:textAlignment w:val="baseline"/>
        <w:rPr>
          <w:iCs/>
        </w:rPr>
      </w:pPr>
      <w:r w:rsidRPr="00141606">
        <w:rPr>
          <w:iCs/>
        </w:rPr>
        <w:t>Pedagoginės psicholo</w:t>
      </w:r>
      <w:r w:rsidR="004B1942">
        <w:rPr>
          <w:iCs/>
        </w:rPr>
        <w:t>ginės tarnybos specialistai 2020m. susidūrė su dideliais iššūkiais dėl pandemijos</w:t>
      </w:r>
      <w:r w:rsidRPr="00141606">
        <w:rPr>
          <w:iCs/>
        </w:rPr>
        <w:t>.</w:t>
      </w:r>
      <w:r w:rsidR="00487621" w:rsidRPr="00141606">
        <w:rPr>
          <w:iCs/>
        </w:rPr>
        <w:t xml:space="preserve"> </w:t>
      </w:r>
      <w:r w:rsidR="004B1942">
        <w:rPr>
          <w:iCs/>
        </w:rPr>
        <w:t>Reikėjo dirbti tiek kon</w:t>
      </w:r>
      <w:r w:rsidR="00CE3784">
        <w:rPr>
          <w:iCs/>
        </w:rPr>
        <w:t>taktiniu, tiek nuotoliniu būdu, kadangi vertinimas negalimas nuoto</w:t>
      </w:r>
      <w:r w:rsidR="00D17348">
        <w:rPr>
          <w:iCs/>
        </w:rPr>
        <w:t>liniu būdu, tai vertinimas per k</w:t>
      </w:r>
      <w:r w:rsidR="00CD389B">
        <w:rPr>
          <w:iCs/>
        </w:rPr>
        <w:t>arantiną nevyko</w:t>
      </w:r>
      <w:r w:rsidR="00CE3784">
        <w:rPr>
          <w:iCs/>
        </w:rPr>
        <w:t xml:space="preserve">. </w:t>
      </w:r>
      <w:r w:rsidR="004B1942">
        <w:rPr>
          <w:iCs/>
        </w:rPr>
        <w:t xml:space="preserve">Džiaugiamės, kad pavyko pravesti mokytojams ir specialistams mokymus dailės ir </w:t>
      </w:r>
      <w:proofErr w:type="spellStart"/>
      <w:r w:rsidR="004B1942">
        <w:rPr>
          <w:iCs/>
        </w:rPr>
        <w:t>Mindfulness</w:t>
      </w:r>
      <w:proofErr w:type="spellEnd"/>
      <w:r w:rsidR="004B1942">
        <w:rPr>
          <w:iCs/>
        </w:rPr>
        <w:t xml:space="preserve"> terapijos.</w:t>
      </w:r>
      <w:r w:rsidR="00CE3784">
        <w:rPr>
          <w:iCs/>
        </w:rPr>
        <w:t xml:space="preserve"> </w:t>
      </w:r>
      <w:r w:rsidR="00083167" w:rsidRPr="00141606">
        <w:rPr>
          <w:iCs/>
        </w:rPr>
        <w:t xml:space="preserve">Toliau </w:t>
      </w:r>
      <w:r w:rsidR="000A4724" w:rsidRPr="00141606">
        <w:rPr>
          <w:iCs/>
        </w:rPr>
        <w:t xml:space="preserve">buvo </w:t>
      </w:r>
      <w:r w:rsidR="00083167" w:rsidRPr="00141606">
        <w:rPr>
          <w:iCs/>
        </w:rPr>
        <w:t xml:space="preserve">tęsiamas mokymų ciklas tėveliams „Efektyvios tėvystės mokymai tėvams“. Vyko užsiėmimai vaikams su elgesio, dėmesio, emocijų sutrikimais naudojant  </w:t>
      </w:r>
      <w:proofErr w:type="spellStart"/>
      <w:r w:rsidR="00083167" w:rsidRPr="00141606">
        <w:rPr>
          <w:iCs/>
        </w:rPr>
        <w:t>Biofeedback</w:t>
      </w:r>
      <w:proofErr w:type="spellEnd"/>
      <w:r w:rsidR="00083167" w:rsidRPr="00141606">
        <w:rPr>
          <w:iCs/>
        </w:rPr>
        <w:t xml:space="preserve"> įrangą, smėlio bei dailė terapiją, kognityvinės ir elgesio terapijos metodus, savęs pažinimo </w:t>
      </w:r>
      <w:r w:rsidR="001E66B0" w:rsidRPr="00141606">
        <w:rPr>
          <w:iCs/>
        </w:rPr>
        <w:t>programą.</w:t>
      </w:r>
    </w:p>
    <w:p w:rsidR="00377A50" w:rsidRPr="006713E2" w:rsidRDefault="00377A50" w:rsidP="00377A50">
      <w:pPr>
        <w:suppressAutoHyphens/>
        <w:autoSpaceDN w:val="0"/>
        <w:jc w:val="both"/>
        <w:textAlignment w:val="baseline"/>
      </w:pPr>
    </w:p>
    <w:p w:rsidR="000A4724" w:rsidRDefault="000A4724" w:rsidP="00377A50">
      <w:pPr>
        <w:suppressAutoHyphens/>
        <w:autoSpaceDN w:val="0"/>
        <w:jc w:val="center"/>
        <w:textAlignment w:val="baseline"/>
        <w:rPr>
          <w:b/>
        </w:rPr>
      </w:pPr>
    </w:p>
    <w:p w:rsidR="00377A50" w:rsidRPr="006713E2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I SKYRIUS</w:t>
      </w:r>
    </w:p>
    <w:p w:rsidR="00377A50" w:rsidRDefault="00377A50" w:rsidP="00377A50">
      <w:pPr>
        <w:suppressAutoHyphens/>
        <w:autoSpaceDN w:val="0"/>
        <w:jc w:val="center"/>
        <w:textAlignment w:val="baseline"/>
        <w:rPr>
          <w:b/>
        </w:rPr>
      </w:pPr>
      <w:r w:rsidRPr="006713E2">
        <w:rPr>
          <w:b/>
        </w:rPr>
        <w:t>STRATEGINIO VEIKLOS PLANO ĮGYVENDINIMAS</w:t>
      </w:r>
    </w:p>
    <w:p w:rsidR="00E60275" w:rsidRPr="006713E2" w:rsidRDefault="00E60275" w:rsidP="00377A50">
      <w:pPr>
        <w:suppressAutoHyphens/>
        <w:autoSpaceDN w:val="0"/>
        <w:jc w:val="center"/>
        <w:textAlignment w:val="baseline"/>
        <w:rPr>
          <w:b/>
        </w:rPr>
      </w:pPr>
    </w:p>
    <w:p w:rsidR="00E60275" w:rsidRPr="00E60275" w:rsidRDefault="00E60275" w:rsidP="00E60275">
      <w:pPr>
        <w:suppressAutoHyphens/>
        <w:autoSpaceDN w:val="0"/>
        <w:jc w:val="center"/>
        <w:textAlignment w:val="baseline"/>
        <w:rPr>
          <w:rFonts w:eastAsia="Calibri"/>
          <w:bCs/>
        </w:rPr>
      </w:pPr>
      <w:r w:rsidRPr="00E60275">
        <w:rPr>
          <w:rFonts w:eastAsia="Calibri"/>
          <w:bCs/>
        </w:rPr>
        <w:t>Strateginis tikslas – užtikrinti aukštą teikiamų paslaugų kokybę ir prieinamum</w:t>
      </w:r>
      <w:r w:rsidR="006439D6">
        <w:rPr>
          <w:rFonts w:eastAsia="Calibri"/>
          <w:bCs/>
        </w:rPr>
        <w:t>ą</w:t>
      </w:r>
    </w:p>
    <w:p w:rsidR="004672D4" w:rsidRPr="00E60275" w:rsidRDefault="00E60275" w:rsidP="00E60275">
      <w:pPr>
        <w:suppressAutoHyphens/>
        <w:autoSpaceDN w:val="0"/>
        <w:textAlignment w:val="baseline"/>
        <w:rPr>
          <w:rFonts w:eastAsia="Calibri"/>
          <w:bCs/>
        </w:rPr>
      </w:pPr>
      <w:r w:rsidRPr="00E60275">
        <w:rPr>
          <w:rFonts w:eastAsia="Calibri"/>
          <w:bCs/>
        </w:rPr>
        <w:t>Tikslas –užtikrinti kokybišką ugdymo programų vykdymą ir prieinamumą</w:t>
      </w:r>
      <w:r w:rsidR="004672D4">
        <w:rPr>
          <w:rFonts w:eastAsia="Calibri"/>
          <w:bCs/>
        </w:rPr>
        <w:t>.</w:t>
      </w:r>
    </w:p>
    <w:p w:rsidR="00E60275" w:rsidRPr="00E60275" w:rsidRDefault="00E60275" w:rsidP="00E60275">
      <w:pPr>
        <w:suppressAutoHyphens/>
        <w:autoSpaceDN w:val="0"/>
        <w:textAlignment w:val="baseline"/>
        <w:rPr>
          <w:rFonts w:eastAsia="Calibri"/>
          <w:bCs/>
        </w:rPr>
      </w:pPr>
    </w:p>
    <w:p w:rsidR="00A77C2D" w:rsidRPr="00141606" w:rsidRDefault="00585DB5" w:rsidP="00A77C2D">
      <w:pPr>
        <w:suppressAutoHyphens/>
        <w:autoSpaceDN w:val="0"/>
        <w:ind w:firstLine="1296"/>
        <w:jc w:val="both"/>
        <w:textAlignment w:val="baseline"/>
        <w:rPr>
          <w:bCs/>
          <w:iCs/>
        </w:rPr>
      </w:pPr>
      <w:r w:rsidRPr="00141606">
        <w:rPr>
          <w:bCs/>
          <w:iCs/>
        </w:rPr>
        <w:t>Strateginio veiklos plano įgyvend</w:t>
      </w:r>
      <w:r w:rsidR="00CD389B">
        <w:rPr>
          <w:bCs/>
          <w:iCs/>
        </w:rPr>
        <w:t>inimui teigiamos reikmės turėjo tai, kad daugiau išmokome teikti konsultacijas bei užsiėmimus nuotoliniu būdu</w:t>
      </w:r>
      <w:r w:rsidRPr="00141606">
        <w:rPr>
          <w:bCs/>
          <w:iCs/>
        </w:rPr>
        <w:t>.</w:t>
      </w:r>
      <w:r w:rsidR="00D17348">
        <w:rPr>
          <w:bCs/>
          <w:iCs/>
        </w:rPr>
        <w:t xml:space="preserve"> Visi PPT specialistai dalyvavo kompiuterinio raštingumo mokymuose, tai padėj</w:t>
      </w:r>
      <w:r w:rsidR="00CD389B">
        <w:rPr>
          <w:bCs/>
          <w:iCs/>
        </w:rPr>
        <w:t>o mums darbe.</w:t>
      </w:r>
      <w:r w:rsidR="00D17348">
        <w:rPr>
          <w:bCs/>
          <w:iCs/>
        </w:rPr>
        <w:t xml:space="preserve"> </w:t>
      </w:r>
      <w:r w:rsidR="00137035">
        <w:rPr>
          <w:bCs/>
          <w:iCs/>
        </w:rPr>
        <w:t xml:space="preserve"> Mūsų tikslas, kad paslaugos būtų prieinamos kiekvienam.</w:t>
      </w:r>
      <w:r w:rsidRPr="00141606">
        <w:rPr>
          <w:bCs/>
          <w:iCs/>
        </w:rPr>
        <w:t xml:space="preserve"> </w:t>
      </w:r>
      <w:r w:rsidR="004672D4">
        <w:rPr>
          <w:bCs/>
          <w:iCs/>
        </w:rPr>
        <w:t xml:space="preserve"> Į</w:t>
      </w:r>
      <w:r w:rsidR="00B7249E">
        <w:rPr>
          <w:bCs/>
          <w:iCs/>
        </w:rPr>
        <w:t>gyvendinant</w:t>
      </w:r>
      <w:r w:rsidR="004672D4">
        <w:rPr>
          <w:bCs/>
          <w:iCs/>
        </w:rPr>
        <w:t xml:space="preserve"> savo išsikeltus tikslus stengėmės, kad visi</w:t>
      </w:r>
      <w:r w:rsidR="006439D6">
        <w:rPr>
          <w:bCs/>
          <w:iCs/>
        </w:rPr>
        <w:t>,</w:t>
      </w:r>
      <w:r w:rsidR="004672D4">
        <w:rPr>
          <w:bCs/>
          <w:iCs/>
        </w:rPr>
        <w:t xml:space="preserve"> kurie kreipėsi dėl vertinimo bei pagalbos teikimo gautu šią pagalbą</w:t>
      </w:r>
      <w:r w:rsidR="003555DB">
        <w:rPr>
          <w:bCs/>
          <w:iCs/>
        </w:rPr>
        <w:t>.</w:t>
      </w:r>
      <w:r w:rsidR="00143DD0">
        <w:rPr>
          <w:bCs/>
          <w:iCs/>
        </w:rPr>
        <w:t xml:space="preserve"> </w:t>
      </w:r>
      <w:r w:rsidR="00A77C2D" w:rsidRPr="00141606">
        <w:rPr>
          <w:bCs/>
          <w:iCs/>
        </w:rPr>
        <w:t>PPT išsikeltus tikslu</w:t>
      </w:r>
      <w:r w:rsidR="003555DB">
        <w:rPr>
          <w:bCs/>
          <w:iCs/>
        </w:rPr>
        <w:t>s įgyvendino, buvo sute</w:t>
      </w:r>
      <w:r w:rsidR="00D17348">
        <w:rPr>
          <w:bCs/>
          <w:iCs/>
        </w:rPr>
        <w:t>ikta 676 konsultacijos bei užsiė</w:t>
      </w:r>
      <w:r w:rsidR="003555DB">
        <w:rPr>
          <w:bCs/>
          <w:iCs/>
        </w:rPr>
        <w:t>mimai</w:t>
      </w:r>
      <w:r w:rsidR="00A77C2D" w:rsidRPr="00141606">
        <w:rPr>
          <w:bCs/>
          <w:iCs/>
        </w:rPr>
        <w:t>, įvertinta vaik</w:t>
      </w:r>
      <w:r w:rsidR="003555DB">
        <w:rPr>
          <w:bCs/>
          <w:iCs/>
        </w:rPr>
        <w:t>ų pagal įvairias metodikas - 225</w:t>
      </w:r>
      <w:r w:rsidR="00A77C2D" w:rsidRPr="00141606">
        <w:rPr>
          <w:bCs/>
          <w:iCs/>
        </w:rPr>
        <w:t>.</w:t>
      </w:r>
      <w:r w:rsidR="00CD389B">
        <w:rPr>
          <w:bCs/>
          <w:iCs/>
        </w:rPr>
        <w:t xml:space="preserve"> Vyko psichologiniai užsiėmimai tiek individualūs, tiek grupiniai, klasės valandėlės, individualūs pokalbiai su tėvais ir mokytojais, buvo pravesti seminarai mokytojams, kaip tinkamai reaguoti į ne</w:t>
      </w:r>
      <w:r w:rsidR="00BD25FB">
        <w:rPr>
          <w:bCs/>
          <w:iCs/>
        </w:rPr>
        <w:t>tinkamą vaiko elgesį pamokose.</w:t>
      </w:r>
      <w:r w:rsidR="00A77C2D" w:rsidRPr="00141606">
        <w:rPr>
          <w:bCs/>
          <w:iCs/>
        </w:rPr>
        <w:t xml:space="preserve"> Visi tėvai, vaikai, bei mokytojai</w:t>
      </w:r>
      <w:r w:rsidR="00A77C2D">
        <w:rPr>
          <w:bCs/>
          <w:iCs/>
        </w:rPr>
        <w:t>,</w:t>
      </w:r>
      <w:r w:rsidR="00A77C2D" w:rsidRPr="00141606">
        <w:rPr>
          <w:bCs/>
          <w:iCs/>
        </w:rPr>
        <w:t xml:space="preserve"> kurie</w:t>
      </w:r>
      <w:r w:rsidR="00A77C2D">
        <w:rPr>
          <w:bCs/>
          <w:iCs/>
        </w:rPr>
        <w:t xml:space="preserve"> kreipėsi psichologo, logopedo, </w:t>
      </w:r>
      <w:proofErr w:type="spellStart"/>
      <w:r w:rsidR="00A77C2D">
        <w:rPr>
          <w:bCs/>
          <w:iCs/>
        </w:rPr>
        <w:t>spec</w:t>
      </w:r>
      <w:proofErr w:type="spellEnd"/>
      <w:r w:rsidR="00A77C2D">
        <w:rPr>
          <w:bCs/>
          <w:iCs/>
        </w:rPr>
        <w:t>. pedagogo, socialinio pedagogo, gydytojo neurologo pagalbos jie visi gavo reikiamą pagalbą ar</w:t>
      </w:r>
      <w:r w:rsidR="002238D2">
        <w:rPr>
          <w:bCs/>
          <w:iCs/>
        </w:rPr>
        <w:t>ba</w:t>
      </w:r>
      <w:r w:rsidR="00CD2176">
        <w:rPr>
          <w:bCs/>
          <w:iCs/>
        </w:rPr>
        <w:t xml:space="preserve"> buvo nu</w:t>
      </w:r>
      <w:r w:rsidR="00A77C2D">
        <w:rPr>
          <w:bCs/>
          <w:iCs/>
        </w:rPr>
        <w:t>kreipti į kitas įstaigas, jei to reikėjo.</w:t>
      </w:r>
      <w:r w:rsidR="00A77C2D" w:rsidRPr="00141606">
        <w:rPr>
          <w:bCs/>
          <w:iCs/>
        </w:rPr>
        <w:t xml:space="preserve"> </w:t>
      </w:r>
    </w:p>
    <w:p w:rsidR="00377A50" w:rsidRPr="00141606" w:rsidRDefault="00143DD0" w:rsidP="004672D4">
      <w:pPr>
        <w:suppressAutoHyphens/>
        <w:autoSpaceDN w:val="0"/>
        <w:ind w:firstLine="1296"/>
        <w:jc w:val="both"/>
        <w:textAlignment w:val="baseline"/>
        <w:rPr>
          <w:bCs/>
          <w:iCs/>
        </w:rPr>
      </w:pPr>
      <w:r>
        <w:rPr>
          <w:bCs/>
          <w:iCs/>
        </w:rPr>
        <w:t>N</w:t>
      </w:r>
      <w:r w:rsidR="00585DB5">
        <w:rPr>
          <w:bCs/>
          <w:iCs/>
        </w:rPr>
        <w:t xml:space="preserve">ors </w:t>
      </w:r>
      <w:r w:rsidR="008E3D58" w:rsidRPr="00141606">
        <w:rPr>
          <w:bCs/>
          <w:iCs/>
        </w:rPr>
        <w:t xml:space="preserve"> </w:t>
      </w:r>
      <w:r w:rsidR="00585DB5">
        <w:rPr>
          <w:bCs/>
          <w:iCs/>
        </w:rPr>
        <w:t xml:space="preserve">rajono </w:t>
      </w:r>
      <w:r w:rsidR="008E3D58" w:rsidRPr="00141606">
        <w:rPr>
          <w:bCs/>
          <w:iCs/>
        </w:rPr>
        <w:t>vaikų skaičiaus m</w:t>
      </w:r>
      <w:r w:rsidR="00252DD9">
        <w:rPr>
          <w:bCs/>
          <w:iCs/>
        </w:rPr>
        <w:t xml:space="preserve">ažėja, </w:t>
      </w:r>
      <w:r w:rsidR="00585DB5">
        <w:rPr>
          <w:bCs/>
          <w:iCs/>
        </w:rPr>
        <w:t>bet pagalbos poreikis didėja</w:t>
      </w:r>
      <w:r w:rsidR="00252DD9">
        <w:rPr>
          <w:bCs/>
          <w:iCs/>
        </w:rPr>
        <w:t>.</w:t>
      </w:r>
      <w:r w:rsidR="00585DB5" w:rsidRPr="00585DB5">
        <w:rPr>
          <w:bCs/>
          <w:iCs/>
        </w:rPr>
        <w:t xml:space="preserve"> </w:t>
      </w:r>
      <w:r w:rsidR="00585DB5" w:rsidRPr="00141606">
        <w:rPr>
          <w:bCs/>
          <w:iCs/>
        </w:rPr>
        <w:t>Neigiamos</w:t>
      </w:r>
      <w:r w:rsidR="00D17348">
        <w:rPr>
          <w:bCs/>
          <w:iCs/>
        </w:rPr>
        <w:t xml:space="preserve"> įtakos plano įgyvendinimui turėjo</w:t>
      </w:r>
      <w:r w:rsidR="00585DB5" w:rsidRPr="00141606">
        <w:rPr>
          <w:bCs/>
          <w:iCs/>
        </w:rPr>
        <w:t xml:space="preserve"> </w:t>
      </w:r>
      <w:r w:rsidR="00252DD9">
        <w:rPr>
          <w:bCs/>
          <w:iCs/>
        </w:rPr>
        <w:t xml:space="preserve">tai, kad </w:t>
      </w:r>
      <w:r w:rsidR="00D17348">
        <w:rPr>
          <w:bCs/>
          <w:iCs/>
        </w:rPr>
        <w:t>mokyklose trūksta psichologų, taip pat šiais metais didelių sunkumų susidarė dėl karantino, negalėjome per karantiną vertinti vaikų, konsultacijos vyko, ti</w:t>
      </w:r>
      <w:r w:rsidR="004E0BC3">
        <w:rPr>
          <w:bCs/>
          <w:iCs/>
        </w:rPr>
        <w:t>k nuotolinių būdu. Kildavo sunkumų dėl vaikų noro bendrauti su specialistais</w:t>
      </w:r>
      <w:r w:rsidR="00B11144">
        <w:rPr>
          <w:bCs/>
          <w:iCs/>
        </w:rPr>
        <w:t>.</w:t>
      </w:r>
      <w:r w:rsidR="00D17348">
        <w:rPr>
          <w:bCs/>
          <w:iCs/>
        </w:rPr>
        <w:t xml:space="preserve"> </w:t>
      </w:r>
    </w:p>
    <w:p w:rsidR="00A8587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</w:p>
    <w:p w:rsidR="00A85872" w:rsidRPr="006713E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II SKYRIUS </w:t>
      </w:r>
    </w:p>
    <w:p w:rsidR="00A85872" w:rsidRPr="006713E2" w:rsidRDefault="00A85872" w:rsidP="00A85872">
      <w:pPr>
        <w:suppressAutoHyphens/>
        <w:autoSpaceDN w:val="0"/>
        <w:jc w:val="center"/>
        <w:textAlignment w:val="baseline"/>
        <w:rPr>
          <w:b/>
          <w:bCs/>
        </w:rPr>
      </w:pPr>
      <w:r w:rsidRPr="006713E2">
        <w:rPr>
          <w:b/>
          <w:bCs/>
        </w:rPr>
        <w:t>KONTEKSTO (APLINKOS) ANALIZĖ</w:t>
      </w:r>
    </w:p>
    <w:p w:rsidR="002A5F9F" w:rsidRDefault="002A5F9F" w:rsidP="002A5F9F">
      <w:pPr>
        <w:ind w:left="1080"/>
        <w:jc w:val="center"/>
      </w:pPr>
    </w:p>
    <w:p w:rsidR="002A5F9F" w:rsidRDefault="002A5F9F" w:rsidP="00F2577E">
      <w:pPr>
        <w:jc w:val="center"/>
      </w:pPr>
      <w:r>
        <w:t>1 lentelė. Informacija apie paslaugas ir paslaugų gavėju</w:t>
      </w:r>
      <w:r w:rsidR="0007068A">
        <w:t>s</w:t>
      </w:r>
    </w:p>
    <w:p w:rsidR="002A5F9F" w:rsidRDefault="002A5F9F" w:rsidP="002A5F9F">
      <w:pPr>
        <w:ind w:left="108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1"/>
        <w:gridCol w:w="4111"/>
      </w:tblGrid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5F9F" w:rsidRDefault="002A5F9F">
            <w:r>
              <w:t>Pedagoginė – psichologinė tarnyba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F9F" w:rsidRDefault="00026B27" w:rsidP="0007068A">
            <w:pPr>
              <w:rPr>
                <w:b/>
              </w:rPr>
            </w:pPr>
            <w:r>
              <w:rPr>
                <w:b/>
              </w:rPr>
              <w:t>2020</w:t>
            </w:r>
            <w:r w:rsidR="00E15C04">
              <w:rPr>
                <w:b/>
              </w:rPr>
              <w:t xml:space="preserve"> </w:t>
            </w:r>
            <w:r w:rsidR="0007068A">
              <w:rPr>
                <w:b/>
              </w:rPr>
              <w:t>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F9F" w:rsidRPr="00E040B9" w:rsidRDefault="00026B27">
            <w:r>
              <w:t>Palyginus su 2019</w:t>
            </w:r>
            <w:r w:rsidR="00A77C2D">
              <w:t>m.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r>
              <w:t xml:space="preserve">Atlikta </w:t>
            </w:r>
            <w:proofErr w:type="spellStart"/>
            <w:r>
              <w:t>pedagoginių,psichologinių</w:t>
            </w:r>
            <w:proofErr w:type="spellEnd"/>
            <w:r>
              <w:t xml:space="preserve">, </w:t>
            </w:r>
            <w:proofErr w:type="spellStart"/>
            <w:r>
              <w:t>logopedinių</w:t>
            </w:r>
            <w:proofErr w:type="spellEnd"/>
            <w:r>
              <w:t xml:space="preserve"> vertinimų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F27933">
            <w:pPr>
              <w:rPr>
                <w:b/>
              </w:rPr>
            </w:pPr>
            <w:r>
              <w:rPr>
                <w:b/>
              </w:rPr>
              <w:t>22</w:t>
            </w:r>
            <w:r w:rsidR="00026B27"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Pr="00E040B9" w:rsidRDefault="00A85872">
            <w:r w:rsidRPr="00E040B9">
              <w:t xml:space="preserve">Pokyčių </w:t>
            </w:r>
            <w:r w:rsidR="00026B27">
              <w:t>nėra ( įvertinta 222</w:t>
            </w:r>
            <w:r w:rsidRPr="00E040B9">
              <w:t>)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r>
              <w:t xml:space="preserve">Suteiktų </w:t>
            </w:r>
            <w:proofErr w:type="spellStart"/>
            <w:r>
              <w:t>pedagoginių,psichologinių</w:t>
            </w:r>
            <w:proofErr w:type="spellEnd"/>
            <w:r>
              <w:t xml:space="preserve">, </w:t>
            </w:r>
            <w:proofErr w:type="spellStart"/>
            <w:r>
              <w:t>logopedinių</w:t>
            </w:r>
            <w:proofErr w:type="spellEnd"/>
            <w:r>
              <w:t xml:space="preserve"> konsultacijų skaičius iš viso, iš jų: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026B27">
            <w:pPr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Pr="00E040B9" w:rsidRDefault="00A85872">
            <w:r w:rsidRPr="00E040B9">
              <w:t>Konsultacijų skaičius padidėj</w:t>
            </w:r>
            <w:r w:rsidR="00026B27">
              <w:t xml:space="preserve">o </w:t>
            </w:r>
            <w:r w:rsidR="00B11144">
              <w:t>9</w:t>
            </w:r>
            <w:r w:rsidR="00026B27">
              <w:t>% (suteikta konsultacijų 621</w:t>
            </w:r>
            <w:r w:rsidRPr="00E040B9">
              <w:t>)</w:t>
            </w:r>
            <w:r w:rsidR="00E040B9">
              <w:t>, nes buv</w:t>
            </w:r>
            <w:r w:rsidR="00026B27">
              <w:t>o poreikis didesnis</w:t>
            </w:r>
          </w:p>
        </w:tc>
      </w:tr>
      <w:tr w:rsidR="002A5F9F" w:rsidTr="00782E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F9F" w:rsidRDefault="002A5F9F">
            <w:pPr>
              <w:rPr>
                <w:i/>
              </w:rPr>
            </w:pPr>
            <w:r>
              <w:rPr>
                <w:i/>
              </w:rPr>
              <w:lastRenderedPageBreak/>
              <w:t>-Kalbos ir kalbėjimo sutrikimų(logopedo)konsultacijos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-Rašymo ir skaitymo sutrikimų(</w:t>
            </w:r>
            <w:proofErr w:type="spellStart"/>
            <w:r>
              <w:rPr>
                <w:i/>
              </w:rPr>
              <w:t>spec.pedagogo</w:t>
            </w:r>
            <w:proofErr w:type="spellEnd"/>
            <w:r>
              <w:rPr>
                <w:i/>
              </w:rPr>
              <w:t>) 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 Socialinio pedagogo konsultacijos</w:t>
            </w:r>
          </w:p>
          <w:p w:rsidR="002A5F9F" w:rsidRDefault="002A5F9F">
            <w:pPr>
              <w:rPr>
                <w:i/>
              </w:rPr>
            </w:pPr>
            <w:r>
              <w:rPr>
                <w:i/>
              </w:rPr>
              <w:t>-Psichologo konsultacijos(elgesio, bendravimo, mokymosi, krizių, patyčių, asmenybės savęs pažinimo, klinikinių), klasės</w:t>
            </w:r>
            <w:r w:rsidR="00782E76">
              <w:rPr>
                <w:i/>
              </w:rPr>
              <w:t xml:space="preserve"> valandėlės, tėvų susirinkimai.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Default="00026B27">
            <w:pPr>
              <w:rPr>
                <w:b/>
              </w:rPr>
            </w:pPr>
            <w:r>
              <w:rPr>
                <w:b/>
              </w:rPr>
              <w:t>75</w:t>
            </w:r>
          </w:p>
          <w:p w:rsidR="00F2577E" w:rsidRDefault="00F2577E">
            <w:pPr>
              <w:rPr>
                <w:b/>
              </w:rPr>
            </w:pPr>
          </w:p>
          <w:p w:rsidR="00F2577E" w:rsidRDefault="00026B27">
            <w:pPr>
              <w:rPr>
                <w:b/>
              </w:rPr>
            </w:pPr>
            <w:r>
              <w:rPr>
                <w:b/>
              </w:rPr>
              <w:t>65</w:t>
            </w:r>
          </w:p>
          <w:p w:rsidR="00F2577E" w:rsidRDefault="00F2577E">
            <w:pPr>
              <w:rPr>
                <w:b/>
              </w:rPr>
            </w:pPr>
          </w:p>
          <w:p w:rsidR="00F2577E" w:rsidRDefault="00026B27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C04627" w:rsidRDefault="00026B27">
            <w:pPr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9F" w:rsidRDefault="002A5F9F">
            <w:pPr>
              <w:rPr>
                <w:b/>
              </w:rPr>
            </w:pPr>
          </w:p>
        </w:tc>
      </w:tr>
    </w:tbl>
    <w:p w:rsidR="00BE15FD" w:rsidRDefault="0007068A" w:rsidP="00BE15FD">
      <w:pPr>
        <w:jc w:val="center"/>
      </w:pPr>
      <w:r>
        <w:t>Įvertinti buvo visi vaikai, kurie kreipėsi, konsultacijų poreikis didesnis negu turime galimybę, jei mokykloje yra  reikalingi specialistai, tai siūlėme kreiptis į juos, teikd</w:t>
      </w:r>
      <w:r w:rsidR="00D4526B">
        <w:t>ami rekomendacijas, kaip dirbti, jei mokykloje nėra dirbo PPT specialistai.</w:t>
      </w:r>
    </w:p>
    <w:p w:rsidR="00CF7C48" w:rsidRDefault="00CF7C48" w:rsidP="00BE15FD">
      <w:pPr>
        <w:jc w:val="center"/>
      </w:pPr>
    </w:p>
    <w:p w:rsidR="00BE15FD" w:rsidRDefault="00BE15FD" w:rsidP="00BE15FD">
      <w:pPr>
        <w:jc w:val="center"/>
      </w:pPr>
      <w:r>
        <w:t>2 lentelė Informacija apie darbuotojų skaičių ir jų darbo užmokestį</w:t>
      </w:r>
    </w:p>
    <w:p w:rsidR="00BE15FD" w:rsidRDefault="00BE15FD" w:rsidP="00BE15FD">
      <w:pPr>
        <w:ind w:left="1080"/>
        <w:jc w:val="center"/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1276"/>
        <w:gridCol w:w="1276"/>
        <w:gridCol w:w="1701"/>
        <w:gridCol w:w="1885"/>
      </w:tblGrid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Rodikliai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Etatų skaičius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Vidutinis mėnesio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bruto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darbo užmokestis eurais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Komentarai</w:t>
            </w: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Darbuotojai pagal pareigybes ir finansavimo šaltinius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Savivaldybės biudžeto lėšos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Direktorius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1822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.Psichologė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1089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logopedė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722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Spec.pedagogė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722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Soc</w:t>
            </w:r>
            <w:proofErr w:type="spellEnd"/>
            <w:r>
              <w:rPr>
                <w:i/>
                <w:sz w:val="20"/>
                <w:szCs w:val="20"/>
              </w:rPr>
              <w:t xml:space="preserve"> pedagogas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395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Pagalb.darbininkė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152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  <w:tr w:rsidR="00BE15FD" w:rsidTr="00F658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Etatų, darbuotojų skaičius,</w:t>
            </w:r>
          </w:p>
          <w:p w:rsidR="00BE15FD" w:rsidRDefault="00BE15FD" w:rsidP="00F658A9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FD" w:rsidRDefault="00BE15FD" w:rsidP="00F658A9">
            <w:pPr>
              <w:spacing w:after="160"/>
              <w:jc w:val="center"/>
            </w:pPr>
          </w:p>
        </w:tc>
      </w:tr>
    </w:tbl>
    <w:p w:rsidR="002A5F9F" w:rsidRDefault="002A5F9F" w:rsidP="00BE15FD"/>
    <w:p w:rsidR="00BE15FD" w:rsidRDefault="00BE15FD" w:rsidP="00BE15FD">
      <w:pPr>
        <w:ind w:left="1080"/>
        <w:jc w:val="center"/>
      </w:pPr>
      <w:r>
        <w:t xml:space="preserve">3 lentelė. Informacija apie darbuotojų kvalifikaciją </w:t>
      </w:r>
    </w:p>
    <w:p w:rsidR="00BE15FD" w:rsidRDefault="00BE15FD" w:rsidP="00BE15FD">
      <w:pPr>
        <w:ind w:left="108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84"/>
        <w:gridCol w:w="1310"/>
        <w:gridCol w:w="3758"/>
      </w:tblGrid>
      <w:tr w:rsidR="00BE15FD" w:rsidTr="00F658A9">
        <w:trPr>
          <w:trHeight w:val="312"/>
        </w:trPr>
        <w:tc>
          <w:tcPr>
            <w:tcW w:w="3652" w:type="dxa"/>
            <w:vMerge w:val="restart"/>
            <w:shd w:val="clear" w:color="auto" w:fill="auto"/>
          </w:tcPr>
          <w:p w:rsidR="00BE15FD" w:rsidRDefault="00BE15FD" w:rsidP="00F658A9">
            <w:pPr>
              <w:jc w:val="center"/>
            </w:pPr>
          </w:p>
          <w:p w:rsidR="00BE15FD" w:rsidRDefault="00BE15FD" w:rsidP="00F658A9">
            <w:pPr>
              <w:jc w:val="center"/>
            </w:pPr>
            <w:r>
              <w:t>Kvalifikacinės kategorijos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BE15FD" w:rsidRDefault="00BE15FD" w:rsidP="00F658A9">
            <w:pPr>
              <w:jc w:val="center"/>
            </w:pPr>
            <w:r>
              <w:t>Darbuotojų skaičius</w:t>
            </w:r>
          </w:p>
        </w:tc>
        <w:tc>
          <w:tcPr>
            <w:tcW w:w="3758" w:type="dxa"/>
            <w:vMerge w:val="restart"/>
            <w:shd w:val="clear" w:color="auto" w:fill="auto"/>
          </w:tcPr>
          <w:p w:rsidR="00BE15FD" w:rsidRDefault="00BE15FD" w:rsidP="00F658A9">
            <w:pPr>
              <w:jc w:val="center"/>
            </w:pPr>
          </w:p>
          <w:p w:rsidR="00BE15FD" w:rsidRDefault="00BE15FD" w:rsidP="00F658A9">
            <w:pPr>
              <w:jc w:val="center"/>
            </w:pPr>
            <w:r>
              <w:t xml:space="preserve">Komentarai </w:t>
            </w:r>
          </w:p>
        </w:tc>
      </w:tr>
      <w:tr w:rsidR="00BE15FD" w:rsidTr="00F658A9">
        <w:tc>
          <w:tcPr>
            <w:tcW w:w="3652" w:type="dxa"/>
            <w:vMerge/>
            <w:shd w:val="clear" w:color="auto" w:fill="auto"/>
          </w:tcPr>
          <w:p w:rsidR="00BE15FD" w:rsidRDefault="00BE15FD" w:rsidP="00F658A9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BE15FD" w:rsidRDefault="00BE15FD" w:rsidP="00F658A9">
            <w:pPr>
              <w:jc w:val="center"/>
            </w:pPr>
            <w:r>
              <w:t xml:space="preserve">Iš viso </w:t>
            </w:r>
          </w:p>
        </w:tc>
        <w:tc>
          <w:tcPr>
            <w:tcW w:w="1310" w:type="dxa"/>
            <w:shd w:val="clear" w:color="auto" w:fill="auto"/>
          </w:tcPr>
          <w:p w:rsidR="00BE15FD" w:rsidRPr="000E401C" w:rsidRDefault="00BE15FD" w:rsidP="00F658A9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 xml:space="preserve">Suteikta kvalifikacija </w:t>
            </w:r>
          </w:p>
        </w:tc>
        <w:tc>
          <w:tcPr>
            <w:tcW w:w="3758" w:type="dxa"/>
            <w:vMerge/>
            <w:shd w:val="clear" w:color="auto" w:fill="auto"/>
          </w:tcPr>
          <w:p w:rsidR="00BE15FD" w:rsidRDefault="00BE15FD" w:rsidP="00F658A9">
            <w:pPr>
              <w:jc w:val="center"/>
            </w:pPr>
          </w:p>
        </w:tc>
      </w:tr>
      <w:tr w:rsidR="00BE15FD" w:rsidTr="00F658A9">
        <w:tc>
          <w:tcPr>
            <w:tcW w:w="3652" w:type="dxa"/>
            <w:shd w:val="clear" w:color="auto" w:fill="F4B083"/>
          </w:tcPr>
          <w:p w:rsidR="00BE15FD" w:rsidRPr="00476B0A" w:rsidRDefault="00BE15FD" w:rsidP="00F658A9">
            <w:pPr>
              <w:rPr>
                <w:i/>
              </w:rPr>
            </w:pPr>
            <w:r>
              <w:t xml:space="preserve">Kitos kvalifikacinės kategorijos </w:t>
            </w:r>
            <w:r w:rsidRPr="007135E0">
              <w:rPr>
                <w:i/>
              </w:rPr>
              <w:t>(nurodyti konkrečiai)</w:t>
            </w:r>
          </w:p>
        </w:tc>
        <w:tc>
          <w:tcPr>
            <w:tcW w:w="884" w:type="dxa"/>
            <w:shd w:val="clear" w:color="auto" w:fill="F4B083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1310" w:type="dxa"/>
            <w:shd w:val="clear" w:color="auto" w:fill="F4B083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3758" w:type="dxa"/>
            <w:shd w:val="clear" w:color="auto" w:fill="F4B083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</w:tr>
      <w:tr w:rsidR="00BE15FD" w:rsidTr="00F658A9">
        <w:tc>
          <w:tcPr>
            <w:tcW w:w="3652" w:type="dxa"/>
            <w:shd w:val="clear" w:color="auto" w:fill="FFFFFF"/>
          </w:tcPr>
          <w:p w:rsidR="00BE15FD" w:rsidRDefault="00BE15FD" w:rsidP="00F658A9">
            <w:r>
              <w:t>Direktorė</w:t>
            </w:r>
          </w:p>
        </w:tc>
        <w:tc>
          <w:tcPr>
            <w:tcW w:w="884" w:type="dxa"/>
            <w:shd w:val="clear" w:color="auto" w:fill="FFFFFF"/>
          </w:tcPr>
          <w:p w:rsidR="00BE15FD" w:rsidRPr="00F6620D" w:rsidRDefault="00BE15FD" w:rsidP="00F658A9">
            <w:pPr>
              <w:jc w:val="center"/>
            </w:pPr>
            <w:r>
              <w:t>1</w:t>
            </w:r>
          </w:p>
        </w:tc>
        <w:tc>
          <w:tcPr>
            <w:tcW w:w="1310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3758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</w:tr>
      <w:tr w:rsidR="00BE15FD" w:rsidTr="00F658A9">
        <w:tc>
          <w:tcPr>
            <w:tcW w:w="3652" w:type="dxa"/>
            <w:shd w:val="clear" w:color="auto" w:fill="FFFFFF"/>
          </w:tcPr>
          <w:p w:rsidR="00BE15FD" w:rsidRDefault="00BE15FD" w:rsidP="00F658A9">
            <w:r>
              <w:t>Psichologė IV kategorija</w:t>
            </w:r>
          </w:p>
        </w:tc>
        <w:tc>
          <w:tcPr>
            <w:tcW w:w="884" w:type="dxa"/>
            <w:shd w:val="clear" w:color="auto" w:fill="FFFFFF"/>
          </w:tcPr>
          <w:p w:rsidR="00BE15FD" w:rsidRPr="00F6620D" w:rsidRDefault="00BE15FD" w:rsidP="00F658A9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</w:t>
            </w:r>
          </w:p>
        </w:tc>
        <w:tc>
          <w:tcPr>
            <w:tcW w:w="1310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3758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</w:tr>
      <w:tr w:rsidR="00BE15FD" w:rsidTr="00F658A9">
        <w:tc>
          <w:tcPr>
            <w:tcW w:w="3652" w:type="dxa"/>
            <w:shd w:val="clear" w:color="auto" w:fill="FFFFFF"/>
          </w:tcPr>
          <w:p w:rsidR="00BE15FD" w:rsidRDefault="00BE15FD" w:rsidP="00F658A9">
            <w:r>
              <w:t xml:space="preserve">Logopedė – </w:t>
            </w:r>
            <w:proofErr w:type="spellStart"/>
            <w:r>
              <w:t>spec</w:t>
            </w:r>
            <w:proofErr w:type="spellEnd"/>
            <w:r>
              <w:t>. pedagogė</w:t>
            </w:r>
          </w:p>
          <w:p w:rsidR="00BE15FD" w:rsidRDefault="00BE15FD" w:rsidP="00F658A9">
            <w:r>
              <w:t xml:space="preserve"> vyr. specialistė</w:t>
            </w:r>
          </w:p>
        </w:tc>
        <w:tc>
          <w:tcPr>
            <w:tcW w:w="884" w:type="dxa"/>
            <w:shd w:val="clear" w:color="auto" w:fill="FFFFFF"/>
          </w:tcPr>
          <w:p w:rsidR="00BE15FD" w:rsidRPr="00F6620D" w:rsidRDefault="00BE15FD" w:rsidP="00F658A9">
            <w:pPr>
              <w:jc w:val="center"/>
              <w:rPr>
                <w:rFonts w:ascii="Cambria" w:hAnsi="Cambria" w:cs="Arial"/>
                <w:i/>
              </w:rPr>
            </w:pPr>
            <w:r w:rsidRPr="00F6620D">
              <w:rPr>
                <w:rFonts w:ascii="Cambria" w:hAnsi="Cambria" w:cs="Arial"/>
                <w:i/>
              </w:rPr>
              <w:t>1</w:t>
            </w:r>
          </w:p>
        </w:tc>
        <w:tc>
          <w:tcPr>
            <w:tcW w:w="1310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3758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</w:tr>
      <w:tr w:rsidR="00BE15FD" w:rsidTr="00F658A9">
        <w:tc>
          <w:tcPr>
            <w:tcW w:w="3652" w:type="dxa"/>
            <w:shd w:val="clear" w:color="auto" w:fill="FFFFFF"/>
          </w:tcPr>
          <w:p w:rsidR="00BE15FD" w:rsidRDefault="00BE15FD" w:rsidP="00F658A9">
            <w:r>
              <w:t xml:space="preserve"> Socialinė pedagogė (metodininkė)</w:t>
            </w:r>
          </w:p>
        </w:tc>
        <w:tc>
          <w:tcPr>
            <w:tcW w:w="884" w:type="dxa"/>
            <w:shd w:val="clear" w:color="auto" w:fill="FFFFFF"/>
          </w:tcPr>
          <w:p w:rsidR="00BE15FD" w:rsidRPr="00F6620D" w:rsidRDefault="00BE15FD" w:rsidP="00F658A9">
            <w:pPr>
              <w:jc w:val="center"/>
              <w:rPr>
                <w:rFonts w:ascii="Cambria" w:hAnsi="Cambria" w:cs="Arial"/>
                <w:i/>
              </w:rPr>
            </w:pPr>
            <w:r w:rsidRPr="00F6620D">
              <w:rPr>
                <w:rFonts w:ascii="Cambria" w:hAnsi="Cambria" w:cs="Arial"/>
                <w:i/>
              </w:rPr>
              <w:t>1</w:t>
            </w:r>
          </w:p>
          <w:p w:rsidR="00BE15FD" w:rsidRPr="00F6620D" w:rsidRDefault="00BE15FD" w:rsidP="00F658A9">
            <w:pPr>
              <w:rPr>
                <w:rFonts w:ascii="Cambria" w:hAnsi="Cambria" w:cs="Arial"/>
                <w:i/>
              </w:rPr>
            </w:pPr>
            <w:r w:rsidRPr="00F6620D">
              <w:rPr>
                <w:rFonts w:ascii="Cambria" w:hAnsi="Cambria" w:cs="Arial"/>
                <w:i/>
              </w:rPr>
              <w:t xml:space="preserve">    </w:t>
            </w:r>
          </w:p>
        </w:tc>
        <w:tc>
          <w:tcPr>
            <w:tcW w:w="1310" w:type="dxa"/>
            <w:shd w:val="clear" w:color="auto" w:fill="FFFFFF"/>
          </w:tcPr>
          <w:p w:rsidR="00BE15FD" w:rsidRPr="007135E0" w:rsidRDefault="00BE15FD" w:rsidP="00F658A9">
            <w:pPr>
              <w:jc w:val="center"/>
              <w:rPr>
                <w:i/>
              </w:rPr>
            </w:pPr>
          </w:p>
        </w:tc>
        <w:tc>
          <w:tcPr>
            <w:tcW w:w="3758" w:type="dxa"/>
            <w:shd w:val="clear" w:color="auto" w:fill="FFFFFF"/>
          </w:tcPr>
          <w:p w:rsidR="00BE15FD" w:rsidRPr="007135E0" w:rsidRDefault="00BE15FD" w:rsidP="00F658A9">
            <w:pPr>
              <w:rPr>
                <w:i/>
              </w:rPr>
            </w:pPr>
          </w:p>
        </w:tc>
      </w:tr>
    </w:tbl>
    <w:p w:rsidR="00B12ED5" w:rsidRDefault="00B12ED5" w:rsidP="002A5F9F">
      <w:pPr>
        <w:ind w:left="993"/>
      </w:pPr>
    </w:p>
    <w:p w:rsidR="00BE15FD" w:rsidRDefault="00BE15FD" w:rsidP="00BE15FD">
      <w:pPr>
        <w:jc w:val="center"/>
      </w:pPr>
    </w:p>
    <w:p w:rsidR="00BE15FD" w:rsidRDefault="00BE15FD" w:rsidP="00BE15FD">
      <w:pPr>
        <w:jc w:val="center"/>
      </w:pPr>
    </w:p>
    <w:p w:rsidR="00CE3784" w:rsidRDefault="00CE3784" w:rsidP="00160F02">
      <w:pPr>
        <w:suppressAutoHyphens/>
        <w:autoSpaceDN w:val="0"/>
        <w:jc w:val="center"/>
        <w:textAlignment w:val="baseline"/>
        <w:rPr>
          <w:b/>
          <w:bCs/>
        </w:rPr>
      </w:pPr>
    </w:p>
    <w:p w:rsidR="004E5F96" w:rsidRDefault="004E5F96" w:rsidP="00160F02">
      <w:pPr>
        <w:suppressAutoHyphens/>
        <w:autoSpaceDN w:val="0"/>
        <w:jc w:val="center"/>
        <w:textAlignment w:val="baseline"/>
        <w:rPr>
          <w:b/>
          <w:bCs/>
        </w:rPr>
      </w:pPr>
    </w:p>
    <w:p w:rsidR="00377A50" w:rsidRPr="006713E2" w:rsidRDefault="00377A50" w:rsidP="00160F02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III SKYRIUS</w:t>
      </w:r>
    </w:p>
    <w:p w:rsidR="00CE3784" w:rsidRPr="006713E2" w:rsidRDefault="00CE3784" w:rsidP="00CE3784">
      <w:pPr>
        <w:suppressAutoHyphens/>
        <w:autoSpaceDN w:val="0"/>
        <w:jc w:val="center"/>
        <w:textAlignment w:val="baseline"/>
        <w:rPr>
          <w:b/>
          <w:bCs/>
        </w:rPr>
      </w:pPr>
      <w:r w:rsidRPr="006713E2">
        <w:rPr>
          <w:b/>
          <w:bCs/>
        </w:rPr>
        <w:t>STRATEGINIŲ TIKSLŲ ĮGYVENDINIMAS</w:t>
      </w:r>
    </w:p>
    <w:p w:rsidR="00377A50" w:rsidRPr="006713E2" w:rsidRDefault="00377A50" w:rsidP="00582606">
      <w:pPr>
        <w:suppressAutoHyphens/>
        <w:autoSpaceDN w:val="0"/>
        <w:textAlignment w:val="baseline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CE3784" w:rsidTr="00145060">
        <w:trPr>
          <w:trHeight w:val="470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84" w:rsidRDefault="00CE3784" w:rsidP="00145060">
            <w:pPr>
              <w:spacing w:after="160"/>
            </w:pPr>
            <w:r>
              <w:rPr>
                <w:b/>
                <w:bCs/>
              </w:rPr>
              <w:t>1 strateginis tikslas</w:t>
            </w:r>
            <w:r w:rsidRPr="00B42C70">
              <w:rPr>
                <w:b/>
                <w:bCs/>
                <w:vertAlign w:val="superscript"/>
              </w:rPr>
              <w:footnoteReference w:id="1"/>
            </w:r>
            <w:r>
              <w:rPr>
                <w:b/>
                <w:bCs/>
              </w:rPr>
              <w:t xml:space="preserve"> – užtikrinti aukštą teikiamų paslaugų kokybę ir prieinamumą</w:t>
            </w:r>
          </w:p>
        </w:tc>
      </w:tr>
      <w:tr w:rsidR="00CE3784" w:rsidTr="00145060">
        <w:trPr>
          <w:trHeight w:val="470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84" w:rsidRDefault="00CE3784" w:rsidP="00145060">
            <w:pPr>
              <w:spacing w:after="160"/>
            </w:pPr>
            <w:r>
              <w:rPr>
                <w:b/>
                <w:bCs/>
              </w:rPr>
              <w:t>Tikslas</w:t>
            </w:r>
            <w:r w:rsidRPr="00B42C70">
              <w:rPr>
                <w:b/>
                <w:bCs/>
                <w:vertAlign w:val="superscript"/>
              </w:rPr>
              <w:footnoteReference w:id="2"/>
            </w:r>
            <w:r>
              <w:rPr>
                <w:b/>
                <w:bCs/>
              </w:rPr>
              <w:t xml:space="preserve"> –užtikrinti kokybišką ugdymo programų vykdymą ir prieinamumą</w:t>
            </w:r>
          </w:p>
        </w:tc>
      </w:tr>
      <w:tr w:rsidR="00CE3784" w:rsidTr="00145060">
        <w:trPr>
          <w:trHeight w:val="470"/>
        </w:trPr>
        <w:tc>
          <w:tcPr>
            <w:tcW w:w="9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84" w:rsidRDefault="00CE3784" w:rsidP="00145060">
            <w:pPr>
              <w:spacing w:after="160"/>
              <w:jc w:val="both"/>
            </w:pPr>
            <w:r>
              <w:rPr>
                <w:b/>
                <w:i/>
                <w:sz w:val="18"/>
              </w:rPr>
              <w:t xml:space="preserve">1 </w:t>
            </w:r>
            <w:proofErr w:type="spellStart"/>
            <w:r>
              <w:rPr>
                <w:b/>
                <w:i/>
                <w:sz w:val="20"/>
              </w:rPr>
              <w:t>lentelė.</w:t>
            </w:r>
            <w:r>
              <w:rPr>
                <w:sz w:val="20"/>
              </w:rPr>
              <w:t>Tikslą</w:t>
            </w:r>
            <w:proofErr w:type="spellEnd"/>
            <w:r>
              <w:rPr>
                <w:sz w:val="20"/>
              </w:rPr>
              <w:t xml:space="preserve"> įgyvendinančios programos patvirtintų asignavimų panaudojimas</w:t>
            </w:r>
          </w:p>
          <w:tbl>
            <w:tblPr>
              <w:tblW w:w="9360" w:type="dxa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79"/>
              <w:gridCol w:w="2807"/>
              <w:gridCol w:w="1275"/>
              <w:gridCol w:w="1278"/>
              <w:gridCol w:w="1277"/>
              <w:gridCol w:w="1844"/>
            </w:tblGrid>
            <w:tr w:rsidR="00CE3784" w:rsidTr="00145060"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Programos kodas</w:t>
                  </w:r>
                </w:p>
              </w:tc>
              <w:tc>
                <w:tcPr>
                  <w:tcW w:w="28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Programos pavadinimas</w:t>
                  </w:r>
                </w:p>
              </w:tc>
              <w:tc>
                <w:tcPr>
                  <w:tcW w:w="56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 xml:space="preserve">Asignavimų panaudojimas (tūkst.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Eur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), </w:t>
                  </w:r>
                </w:p>
              </w:tc>
            </w:tr>
            <w:tr w:rsidR="00CE3784" w:rsidTr="00145060">
              <w:tc>
                <w:tcPr>
                  <w:tcW w:w="8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Asignavimų planas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8"/>
                      <w:szCs w:val="18"/>
                    </w:rPr>
                    <w:t>Patikslintas asignavimų planas*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8"/>
                      <w:szCs w:val="18"/>
                    </w:rPr>
                    <w:t>Panaudota</w:t>
                  </w:r>
                </w:p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8"/>
                      <w:szCs w:val="18"/>
                    </w:rPr>
                    <w:t>asignavimų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8"/>
                      <w:szCs w:val="18"/>
                    </w:rPr>
                    <w:t>Panaudota asignavimų (proc.)**</w:t>
                  </w:r>
                </w:p>
              </w:tc>
            </w:tr>
            <w:tr w:rsidR="00CE3784" w:rsidTr="00145060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b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0"/>
                      <w:szCs w:val="18"/>
                    </w:rPr>
                    <w:t>3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0"/>
                      <w:szCs w:val="18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0"/>
                      <w:szCs w:val="18"/>
                    </w:rPr>
                    <w:t>5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  <w:r>
                    <w:rPr>
                      <w:sz w:val="10"/>
                      <w:szCs w:val="18"/>
                    </w:rPr>
                    <w:t>6</w:t>
                  </w:r>
                </w:p>
              </w:tc>
            </w:tr>
            <w:tr w:rsidR="00CE3784" w:rsidTr="00145060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1.1.4.1.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3784" w:rsidRDefault="00CE3784" w:rsidP="00145060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Skuodo pedagoginės psichologinės tarnybos veiklos organizavimo užtikrinimas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  <w:r>
                    <w:t>81,1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  <w:r>
                    <w:t>83,1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  <w:r>
                    <w:t>81,6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</w:p>
                <w:p w:rsidR="00CE3784" w:rsidRDefault="00CE3784" w:rsidP="00145060">
                  <w:pPr>
                    <w:spacing w:after="160"/>
                    <w:jc w:val="center"/>
                  </w:pPr>
                  <w:r>
                    <w:t>98,2</w:t>
                  </w:r>
                </w:p>
              </w:tc>
            </w:tr>
            <w:tr w:rsidR="00CE3784" w:rsidTr="00145060"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</w:pPr>
                  <w:r>
                    <w:rPr>
                      <w:bCs/>
                      <w:i/>
                      <w:sz w:val="18"/>
                      <w:szCs w:val="18"/>
                    </w:rPr>
                    <w:t>Iš jų ES ir kita tarptautinė finansinė parama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84" w:rsidTr="00145060">
              <w:trPr>
                <w:trHeight w:val="27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784" w:rsidRDefault="00CE3784" w:rsidP="00145060">
                  <w:pPr>
                    <w:spacing w:after="1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E3784" w:rsidRDefault="00CE3784" w:rsidP="00145060">
            <w:pPr>
              <w:spacing w:after="1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 Patikslintame  asignavimų plane atsirado daugia</w:t>
            </w:r>
            <w:r w:rsidR="004E5F96">
              <w:rPr>
                <w:bCs/>
                <w:sz w:val="16"/>
                <w:szCs w:val="16"/>
              </w:rPr>
              <w:t>u pinigų, dėl  atlyginimo padidėjimo, krepšelio padidėjimo.</w:t>
            </w:r>
          </w:p>
          <w:p w:rsidR="00CE3784" w:rsidRDefault="00CE3784" w:rsidP="00145060">
            <w:pPr>
              <w:spacing w:after="160"/>
              <w:rPr>
                <w:i/>
                <w:sz w:val="20"/>
              </w:rPr>
            </w:pPr>
          </w:p>
        </w:tc>
      </w:tr>
      <w:tr w:rsidR="00CE3784" w:rsidTr="00145060">
        <w:trPr>
          <w:trHeight w:val="230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</w:tblGrid>
            <w:tr w:rsidR="00D70333" w:rsidRPr="006713E2" w:rsidTr="007809A5">
              <w:trPr>
                <w:trHeight w:val="230"/>
              </w:trPr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333" w:rsidRPr="006713E2" w:rsidRDefault="00D70333" w:rsidP="007809A5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eastAsia="Calibri"/>
                      <w:b/>
                    </w:rPr>
                  </w:pPr>
                </w:p>
                <w:p w:rsidR="00D70333" w:rsidRPr="006713E2" w:rsidRDefault="00D70333" w:rsidP="007809A5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eastAsia="Calibri"/>
                      <w:i/>
                      <w:sz w:val="20"/>
                    </w:rPr>
                  </w:pPr>
                  <w:r w:rsidRPr="006713E2">
                    <w:rPr>
                      <w:rFonts w:eastAsia="Calibri"/>
                      <w:b/>
                      <w:i/>
                      <w:sz w:val="20"/>
                    </w:rPr>
                    <w:t>1 grafikas.</w:t>
                  </w:r>
                  <w:r w:rsidRPr="006713E2">
                    <w:rPr>
                      <w:rFonts w:eastAsia="Calibri"/>
                      <w:b/>
                      <w:sz w:val="20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0"/>
                    </w:rPr>
                    <w:t xml:space="preserve">Grafikas Labdaros- paramos lėšos </w:t>
                  </w:r>
                </w:p>
                <w:p w:rsidR="00D70333" w:rsidRPr="006713E2" w:rsidRDefault="00D70333" w:rsidP="007809A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eastAsia="Calibri"/>
                    </w:rPr>
                  </w:pPr>
                  <w:r w:rsidRPr="006713E2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715000" cy="1447800"/>
                        <wp:effectExtent l="0" t="0" r="19050" b="19050"/>
                        <wp:docPr id="2" name="Objektas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D70333" w:rsidRPr="006713E2" w:rsidRDefault="00D70333" w:rsidP="007809A5">
                  <w:pPr>
                    <w:keepNext/>
                    <w:keepLines/>
                    <w:suppressAutoHyphens/>
                    <w:autoSpaceDN w:val="0"/>
                    <w:jc w:val="both"/>
                    <w:textAlignment w:val="baseline"/>
                    <w:rPr>
                      <w:rFonts w:eastAsia="Calibri"/>
                      <w:i/>
                      <w:sz w:val="18"/>
                    </w:rPr>
                  </w:pPr>
                  <w:r w:rsidRPr="006713E2">
                    <w:rPr>
                      <w:rFonts w:eastAsia="Calibri"/>
                      <w:i/>
                      <w:sz w:val="20"/>
                    </w:rPr>
                    <w:t xml:space="preserve">* </w:t>
                  </w:r>
                  <w:r w:rsidRPr="006713E2">
                    <w:rPr>
                      <w:rFonts w:eastAsia="Calibri"/>
                      <w:sz w:val="20"/>
                    </w:rPr>
                    <w:t>n</w:t>
                  </w:r>
                  <w:r w:rsidRPr="006713E2">
                    <w:rPr>
                      <w:rFonts w:eastAsia="Calibri"/>
                      <w:i/>
                      <w:sz w:val="20"/>
                    </w:rPr>
                    <w:t xml:space="preserve"> – ataskaitiniai metai</w:t>
                  </w:r>
                </w:p>
                <w:p w:rsidR="00D70333" w:rsidRPr="00582606" w:rsidRDefault="00D70333" w:rsidP="00D4526B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eastAsia="Calibri"/>
                      <w:bCs/>
                      <w:i/>
                    </w:rPr>
                  </w:pPr>
                </w:p>
              </w:tc>
            </w:tr>
          </w:tbl>
          <w:p w:rsidR="00D70333" w:rsidRPr="006713E2" w:rsidRDefault="00D70333" w:rsidP="00D70333">
            <w:pPr>
              <w:suppressAutoHyphens/>
              <w:autoSpaceDN w:val="0"/>
              <w:textAlignment w:val="baseline"/>
              <w:rPr>
                <w:b/>
                <w:bCs/>
              </w:rPr>
            </w:pPr>
          </w:p>
          <w:p w:rsidR="00D70333" w:rsidRDefault="00D70333" w:rsidP="00D70333">
            <w:pPr>
              <w:suppressAutoHyphens/>
              <w:autoSpaceDN w:val="0"/>
              <w:ind w:left="284" w:hanging="284"/>
              <w:jc w:val="center"/>
              <w:textAlignment w:val="baseline"/>
              <w:rPr>
                <w:b/>
                <w:bCs/>
              </w:rPr>
            </w:pPr>
          </w:p>
          <w:p w:rsidR="00CE3784" w:rsidRDefault="00CE3784" w:rsidP="00145060">
            <w:pPr>
              <w:spacing w:after="160"/>
              <w:ind w:firstLine="360"/>
              <w:jc w:val="both"/>
              <w:rPr>
                <w:bCs/>
                <w:i/>
              </w:rPr>
            </w:pPr>
          </w:p>
        </w:tc>
      </w:tr>
    </w:tbl>
    <w:p w:rsidR="009D150F" w:rsidRDefault="009D150F" w:rsidP="00377A50">
      <w:pPr>
        <w:suppressAutoHyphens/>
        <w:autoSpaceDN w:val="0"/>
        <w:ind w:left="284" w:hanging="284"/>
        <w:jc w:val="center"/>
        <w:textAlignment w:val="baseline"/>
        <w:rPr>
          <w:b/>
          <w:bCs/>
        </w:rPr>
      </w:pPr>
    </w:p>
    <w:p w:rsidR="009D150F" w:rsidRDefault="009D150F" w:rsidP="00377A50">
      <w:pPr>
        <w:suppressAutoHyphens/>
        <w:autoSpaceDN w:val="0"/>
        <w:ind w:left="284" w:hanging="284"/>
        <w:jc w:val="center"/>
        <w:textAlignment w:val="baseline"/>
        <w:rPr>
          <w:b/>
          <w:bCs/>
        </w:rPr>
      </w:pPr>
    </w:p>
    <w:p w:rsidR="00CE3784" w:rsidRDefault="00CE3784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CE3784" w:rsidRDefault="00CE3784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CE3784" w:rsidRDefault="00CE3784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CE3784" w:rsidRDefault="00CE3784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CE3784" w:rsidRDefault="00CE3784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D4526B" w:rsidRDefault="00D4526B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D4526B" w:rsidRDefault="00D4526B" w:rsidP="009F6661">
      <w:pPr>
        <w:suppressAutoHyphens/>
        <w:autoSpaceDN w:val="0"/>
        <w:jc w:val="center"/>
        <w:textAlignment w:val="baseline"/>
        <w:rPr>
          <w:b/>
          <w:bCs/>
        </w:rPr>
      </w:pPr>
    </w:p>
    <w:p w:rsidR="00377A50" w:rsidRDefault="00377A50" w:rsidP="009F6661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IV SKYRIUS</w:t>
      </w:r>
    </w:p>
    <w:p w:rsidR="006A0110" w:rsidRDefault="006A0110" w:rsidP="009F6661">
      <w:pPr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PAPILDOMA INFORMACIJA</w:t>
      </w:r>
    </w:p>
    <w:p w:rsidR="00377A50" w:rsidRPr="004D5163" w:rsidRDefault="00377A50" w:rsidP="009D150F">
      <w:pPr>
        <w:suppressAutoHyphens/>
        <w:autoSpaceDN w:val="0"/>
        <w:ind w:left="284" w:hanging="284"/>
        <w:textAlignment w:val="baseline"/>
        <w:rPr>
          <w:b/>
          <w:bCs/>
        </w:rPr>
      </w:pPr>
    </w:p>
    <w:p w:rsidR="002A5F9F" w:rsidRDefault="00160F02" w:rsidP="002A5F9F">
      <w:pPr>
        <w:jc w:val="center"/>
      </w:pPr>
      <w:r>
        <w:t>4</w:t>
      </w:r>
      <w:r w:rsidR="002A5F9F">
        <w:t xml:space="preserve"> lentelė. Informacija apie panaudotus asignavimus</w:t>
      </w:r>
    </w:p>
    <w:p w:rsidR="002A5F9F" w:rsidRDefault="002A5F9F" w:rsidP="002A5F9F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855"/>
        <w:gridCol w:w="855"/>
        <w:gridCol w:w="855"/>
        <w:gridCol w:w="855"/>
        <w:gridCol w:w="3420"/>
      </w:tblGrid>
      <w:tr w:rsidR="002A5F9F" w:rsidTr="006A0110">
        <w:tc>
          <w:tcPr>
            <w:tcW w:w="2880" w:type="dxa"/>
            <w:vMerge w:val="restart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  <w:p w:rsidR="002A5F9F" w:rsidRDefault="002A5F9F" w:rsidP="003020EE">
            <w:pPr>
              <w:jc w:val="center"/>
            </w:pPr>
            <w:r>
              <w:t xml:space="preserve">Rodikliai 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2A5F9F" w:rsidRPr="00CC598C" w:rsidRDefault="002A5F9F" w:rsidP="003020EE">
            <w:pPr>
              <w:jc w:val="center"/>
            </w:pPr>
            <w:r w:rsidRPr="00CC598C">
              <w:rPr>
                <w:sz w:val="22"/>
                <w:szCs w:val="22"/>
              </w:rPr>
              <w:t>Panaudota, tūkst. €</w:t>
            </w:r>
          </w:p>
        </w:tc>
        <w:tc>
          <w:tcPr>
            <w:tcW w:w="3420" w:type="dxa"/>
            <w:vMerge w:val="restart"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  <w:p w:rsidR="002A5F9F" w:rsidRDefault="002A5F9F" w:rsidP="003020EE">
            <w:pPr>
              <w:jc w:val="center"/>
            </w:pPr>
            <w:r>
              <w:t>Komentarai</w:t>
            </w:r>
            <w:r>
              <w:rPr>
                <w:rStyle w:val="Puslapioinaosnuoroda"/>
              </w:rPr>
              <w:footnoteReference w:id="3"/>
            </w:r>
          </w:p>
        </w:tc>
      </w:tr>
      <w:tr w:rsidR="002A5F9F" w:rsidTr="006A0110">
        <w:tc>
          <w:tcPr>
            <w:tcW w:w="2880" w:type="dxa"/>
            <w:vMerge/>
            <w:shd w:val="clear" w:color="auto" w:fill="FFFFFF" w:themeFill="background1"/>
          </w:tcPr>
          <w:p w:rsidR="002A5F9F" w:rsidRDefault="002A5F9F" w:rsidP="003020EE">
            <w:pPr>
              <w:jc w:val="center"/>
            </w:pP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 xml:space="preserve">Iš viso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 xml:space="preserve">Išlaidoms 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453745" w:rsidRDefault="002A5F9F" w:rsidP="003020EE">
            <w:pPr>
              <w:jc w:val="center"/>
              <w:rPr>
                <w:i/>
                <w:sz w:val="20"/>
                <w:szCs w:val="20"/>
              </w:rPr>
            </w:pPr>
            <w:r w:rsidRPr="00453745">
              <w:rPr>
                <w:i/>
                <w:sz w:val="20"/>
                <w:szCs w:val="20"/>
              </w:rPr>
              <w:t>iš jų, DU</w:t>
            </w:r>
          </w:p>
        </w:tc>
        <w:tc>
          <w:tcPr>
            <w:tcW w:w="855" w:type="dxa"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  <w:r w:rsidRPr="007135E0">
              <w:rPr>
                <w:sz w:val="20"/>
                <w:szCs w:val="20"/>
              </w:rPr>
              <w:t>Turtui</w:t>
            </w:r>
          </w:p>
        </w:tc>
        <w:tc>
          <w:tcPr>
            <w:tcW w:w="3420" w:type="dxa"/>
            <w:vMerge/>
            <w:shd w:val="clear" w:color="auto" w:fill="FFFFFF" w:themeFill="background1"/>
          </w:tcPr>
          <w:p w:rsidR="002A5F9F" w:rsidRPr="007135E0" w:rsidRDefault="002A5F9F" w:rsidP="003020EE">
            <w:pPr>
              <w:jc w:val="center"/>
              <w:rPr>
                <w:sz w:val="20"/>
                <w:szCs w:val="20"/>
              </w:rPr>
            </w:pP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 xml:space="preserve">Savivaldybės biudžeto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45,2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8,1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  <w:r>
              <w:rPr>
                <w:i/>
              </w:rPr>
              <w:t>37,1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Pr="006A0110" w:rsidRDefault="00160F02" w:rsidP="003020E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2019m. – </w:t>
            </w:r>
            <w:r w:rsidR="00B233F0">
              <w:rPr>
                <w:color w:val="C00000"/>
              </w:rPr>
              <w:t>41,8</w:t>
            </w: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 xml:space="preserve">Mokinio krepšelio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35,5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0,5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  <w:r>
              <w:rPr>
                <w:i/>
              </w:rPr>
              <w:t>35,0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  <w:r>
              <w:t>2019m. -2</w:t>
            </w:r>
            <w:r w:rsidR="00B233F0">
              <w:t>8,9</w:t>
            </w: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 xml:space="preserve">Valstybės biudžeto lėšos 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0,7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 xml:space="preserve">Pajamos už suteiktas paslaugas 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  <w:p w:rsidR="00160F02" w:rsidRPr="00582606" w:rsidRDefault="00160F02" w:rsidP="00582606">
            <w:pPr>
              <w:jc w:val="right"/>
            </w:pP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>Projektinės veiklos lėšos</w:t>
            </w:r>
            <w:r>
              <w:rPr>
                <w:rStyle w:val="Puslapioinaosnuoroda"/>
              </w:rPr>
              <w:footnoteReference w:id="4"/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t xml:space="preserve">Kitos pajamos </w:t>
            </w:r>
          </w:p>
          <w:p w:rsidR="00160F02" w:rsidRPr="007135E0" w:rsidRDefault="00160F02" w:rsidP="003020EE">
            <w:pPr>
              <w:rPr>
                <w:i/>
                <w:sz w:val="20"/>
                <w:szCs w:val="20"/>
              </w:rPr>
            </w:pPr>
            <w:r w:rsidRPr="007135E0">
              <w:rPr>
                <w:i/>
                <w:sz w:val="20"/>
                <w:szCs w:val="20"/>
              </w:rPr>
              <w:t>(2 % GPM, gauta labdara ir pan.)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0,2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</w:pPr>
            <w:r>
              <w:t>0,2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i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Default="00160F02" w:rsidP="003020EE">
            <w:pPr>
              <w:jc w:val="center"/>
            </w:pP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Pr="007135E0" w:rsidRDefault="00160F02" w:rsidP="003020EE">
            <w:pPr>
              <w:rPr>
                <w:b/>
              </w:rPr>
            </w:pPr>
            <w:r w:rsidRPr="007135E0">
              <w:rPr>
                <w:b/>
              </w:rPr>
              <w:t>Iš viso</w:t>
            </w:r>
          </w:p>
          <w:p w:rsidR="00160F02" w:rsidRPr="007135E0" w:rsidRDefault="00160F02" w:rsidP="003020EE">
            <w:pPr>
              <w:rPr>
                <w:b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Pr="007135E0" w:rsidRDefault="00160F02" w:rsidP="003020E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Pr="007135E0" w:rsidRDefault="00160F02" w:rsidP="003020EE">
            <w:pPr>
              <w:jc w:val="center"/>
              <w:rPr>
                <w:b/>
              </w:rPr>
            </w:pPr>
            <w:r>
              <w:rPr>
                <w:b/>
              </w:rPr>
              <w:t xml:space="preserve">2019m. – </w:t>
            </w:r>
            <w:r w:rsidR="00B233F0">
              <w:rPr>
                <w:b/>
              </w:rPr>
              <w:t>70,8</w:t>
            </w:r>
          </w:p>
        </w:tc>
      </w:tr>
      <w:tr w:rsidR="00160F02" w:rsidTr="006A0110">
        <w:tc>
          <w:tcPr>
            <w:tcW w:w="2880" w:type="dxa"/>
            <w:shd w:val="clear" w:color="auto" w:fill="FFFFFF" w:themeFill="background1"/>
          </w:tcPr>
          <w:p w:rsidR="00160F02" w:rsidRDefault="00160F02" w:rsidP="003020EE">
            <w:r>
              <w:rPr>
                <w:sz w:val="22"/>
                <w:szCs w:val="22"/>
              </w:rPr>
              <w:t>Kreditinis įsiskolinimas</w:t>
            </w:r>
          </w:p>
          <w:p w:rsidR="00160F02" w:rsidRPr="00216EB1" w:rsidRDefault="00160F02" w:rsidP="003020EE">
            <w:r w:rsidRPr="00AA376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AA376C">
              <w:rPr>
                <w:b/>
                <w:sz w:val="22"/>
                <w:szCs w:val="22"/>
              </w:rPr>
              <w:t>-12-31, i</w:t>
            </w:r>
            <w:r w:rsidRPr="00AA376C">
              <w:rPr>
                <w:sz w:val="22"/>
                <w:szCs w:val="22"/>
              </w:rPr>
              <w:t>š viso, €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Default="00160F02" w:rsidP="00F658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160F02" w:rsidRPr="007135E0" w:rsidRDefault="00160F02" w:rsidP="003020E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60F02" w:rsidRPr="007135E0" w:rsidRDefault="00160F02" w:rsidP="003020EE">
            <w:pPr>
              <w:jc w:val="center"/>
              <w:rPr>
                <w:b/>
              </w:rPr>
            </w:pPr>
          </w:p>
        </w:tc>
      </w:tr>
    </w:tbl>
    <w:p w:rsidR="00160F02" w:rsidRDefault="00E040B9" w:rsidP="00160F02">
      <w:pPr>
        <w:tabs>
          <w:tab w:val="left" w:pos="4182"/>
        </w:tabs>
        <w:jc w:val="center"/>
      </w:pPr>
      <w:r>
        <w:rPr>
          <w:b/>
          <w:bCs/>
          <w:i/>
        </w:rPr>
        <w:t>Padidėjo mokinio krepšelio i</w:t>
      </w:r>
      <w:r w:rsidR="004E0BC3">
        <w:rPr>
          <w:b/>
          <w:bCs/>
          <w:i/>
        </w:rPr>
        <w:t>r savi</w:t>
      </w:r>
      <w:r w:rsidR="00BD25FB">
        <w:rPr>
          <w:b/>
          <w:bCs/>
          <w:i/>
        </w:rPr>
        <w:t>valdybės lėšos dėl algų pakilimo</w:t>
      </w:r>
      <w:r>
        <w:rPr>
          <w:b/>
          <w:bCs/>
          <w:i/>
        </w:rPr>
        <w:t xml:space="preserve"> </w:t>
      </w:r>
    </w:p>
    <w:p w:rsidR="00160F02" w:rsidRDefault="00160F02" w:rsidP="00160F02">
      <w:pPr>
        <w:tabs>
          <w:tab w:val="left" w:pos="4182"/>
        </w:tabs>
      </w:pPr>
      <w:r>
        <w:t xml:space="preserve"> </w:t>
      </w:r>
    </w:p>
    <w:p w:rsidR="00160F02" w:rsidRDefault="00160F02" w:rsidP="00A51ACE">
      <w:pPr>
        <w:tabs>
          <w:tab w:val="left" w:pos="4182"/>
        </w:tabs>
        <w:jc w:val="center"/>
      </w:pPr>
      <w:r>
        <w:t>5 lentelė. Išvestiniai rodikliai</w:t>
      </w:r>
    </w:p>
    <w:p w:rsidR="00160F02" w:rsidRDefault="00160F02" w:rsidP="00160F02">
      <w:pPr>
        <w:tabs>
          <w:tab w:val="left" w:pos="4182"/>
        </w:tabs>
        <w:jc w:val="center"/>
      </w:pP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4361"/>
        <w:gridCol w:w="1364"/>
        <w:gridCol w:w="3881"/>
      </w:tblGrid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center"/>
            </w:pPr>
            <w:r>
              <w:t xml:space="preserve">Rodikliai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center"/>
            </w:pPr>
            <w:r>
              <w:rPr>
                <w:color w:val="FF0000"/>
              </w:rPr>
              <w:t>2020m</w:t>
            </w:r>
            <w: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center"/>
            </w:pPr>
            <w:r>
              <w:t xml:space="preserve">Komentarai </w:t>
            </w: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  <w:r>
              <w:t>Išlaidos, tenkančios 1 rajono gyventojui</w:t>
            </w:r>
            <w:r w:rsidRPr="00330EA2">
              <w:rPr>
                <w:rStyle w:val="Puslapioinaosnuoroda"/>
              </w:rPr>
              <w:footnoteReference w:id="5"/>
            </w:r>
            <w:r>
              <w:t>, iš viso, €</w:t>
            </w:r>
            <w:r w:rsidRPr="00330EA2">
              <w:rPr>
                <w:rStyle w:val="Puslapioinaosnuoroda"/>
              </w:rPr>
              <w:footnoteReference w:id="6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iš jų, savivaldybės biudžeto lėšos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747BDA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2,81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B11144" w:rsidP="00F658A9">
            <w:pPr>
              <w:tabs>
                <w:tab w:val="left" w:pos="4182"/>
              </w:tabs>
              <w:jc w:val="both"/>
            </w:pPr>
            <w:r>
              <w:rPr>
                <w:i/>
              </w:rPr>
              <w:t>(Gy</w:t>
            </w:r>
            <w:r w:rsidR="00BD25FB">
              <w:rPr>
                <w:i/>
              </w:rPr>
              <w:t>v</w:t>
            </w:r>
            <w:r>
              <w:rPr>
                <w:i/>
              </w:rPr>
              <w:t>entojų</w:t>
            </w:r>
            <w:r w:rsidR="00747BDA">
              <w:rPr>
                <w:i/>
              </w:rPr>
              <w:t xml:space="preserve"> sk.16078)</w:t>
            </w: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valstybės biudžeto lėšos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747BDA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2,21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  <w:r>
              <w:t>Vidutinės išlaidos, tenkančios 1 PPT suteiktai konsultacijai, €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747BDA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90.52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B11144" w:rsidP="00F658A9">
            <w:pPr>
              <w:tabs>
                <w:tab w:val="left" w:pos="4182"/>
              </w:tabs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160F02">
              <w:rPr>
                <w:i/>
              </w:rPr>
              <w:t>81562</w:t>
            </w:r>
            <w:r>
              <w:rPr>
                <w:i/>
              </w:rPr>
              <w:t>:901)</w:t>
            </w: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  <w:r>
              <w:t>Darbo užmokesčio fondo pokytis, lyginant su ankstesniais metais, 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spacing w:line="360" w:lineRule="auto"/>
              <w:jc w:val="both"/>
            </w:pPr>
            <w:r>
              <w:rPr>
                <w:i/>
                <w:lang w:val="en-US"/>
              </w:rPr>
              <w:t>16,8 %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  <w:rPr>
                <w:i/>
              </w:rPr>
            </w:pPr>
          </w:p>
        </w:tc>
      </w:tr>
      <w:tr w:rsidR="00160F02" w:rsidTr="00F658A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  <w:r>
              <w:t>Valomas plotas, m</w:t>
            </w:r>
            <w:r>
              <w:rPr>
                <w:vertAlign w:val="superscript"/>
              </w:rPr>
              <w:t>2</w:t>
            </w:r>
            <w:r>
              <w:t>/1 valytojai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</w:pPr>
            <w:r>
              <w:rPr>
                <w:i/>
              </w:rPr>
              <w:t>120</w:t>
            </w:r>
            <w:r>
              <w:rPr>
                <w:i/>
                <w:sz w:val="16"/>
                <w:szCs w:val="16"/>
              </w:rPr>
              <w:t>m/2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02" w:rsidRDefault="00160F02" w:rsidP="00F658A9">
            <w:pPr>
              <w:tabs>
                <w:tab w:val="left" w:pos="4182"/>
              </w:tabs>
              <w:jc w:val="both"/>
              <w:rPr>
                <w:i/>
              </w:rPr>
            </w:pPr>
          </w:p>
        </w:tc>
      </w:tr>
    </w:tbl>
    <w:p w:rsidR="002A5F9F" w:rsidRDefault="002A5F9F" w:rsidP="00377A50">
      <w:pPr>
        <w:suppressAutoHyphens/>
        <w:autoSpaceDN w:val="0"/>
        <w:jc w:val="both"/>
        <w:textAlignment w:val="baseline"/>
        <w:rPr>
          <w:b/>
          <w:bCs/>
          <w:i/>
        </w:rPr>
      </w:pPr>
    </w:p>
    <w:p w:rsidR="00CD2176" w:rsidRDefault="00882B85" w:rsidP="00882B85">
      <w:pPr>
        <w:pStyle w:val="LentelsNr0"/>
        <w:ind w:firstLine="1296"/>
      </w:pPr>
      <w:r>
        <w:rPr>
          <w:bCs w:val="0"/>
          <w:iCs w:val="0"/>
        </w:rPr>
        <w:t>Įgyvendinant 2020</w:t>
      </w:r>
      <w:r w:rsidR="007A1901">
        <w:rPr>
          <w:bCs w:val="0"/>
          <w:iCs w:val="0"/>
        </w:rPr>
        <w:t xml:space="preserve"> metų savo išsikeltus tikslus stengėmės, kad visi kurie kreipėsi dėl vertinimo bei pagalbos teikimo gautu šią pagalbą. </w:t>
      </w:r>
      <w:r w:rsidR="007A1901" w:rsidRPr="00600B94">
        <w:t xml:space="preserve"> </w:t>
      </w:r>
      <w:r>
        <w:t>2021</w:t>
      </w:r>
      <w:r w:rsidR="00EB5A02">
        <w:t xml:space="preserve"> </w:t>
      </w:r>
      <w:r w:rsidR="009D150F" w:rsidRPr="00600B94">
        <w:t>metais pedagoginė</w:t>
      </w:r>
      <w:r w:rsidR="009F6661" w:rsidRPr="00600B94">
        <w:t>s</w:t>
      </w:r>
      <w:r w:rsidR="009D150F" w:rsidRPr="00600B94">
        <w:t xml:space="preserve"> psichologinė</w:t>
      </w:r>
      <w:r w:rsidR="004E0BC3">
        <w:t>s tarnybos prioritetas,</w:t>
      </w:r>
      <w:r w:rsidR="009D150F" w:rsidRPr="00600B94">
        <w:t xml:space="preserve"> kad kuo </w:t>
      </w:r>
      <w:r w:rsidR="00356985" w:rsidRPr="00600B94">
        <w:t>greičiau būtų įvertinti vaikai turintys SUP</w:t>
      </w:r>
      <w:r w:rsidR="009D150F" w:rsidRPr="00600B94">
        <w:t xml:space="preserve">, kad </w:t>
      </w:r>
      <w:r w:rsidR="00356985" w:rsidRPr="00600B94">
        <w:t xml:space="preserve">pedagoginė, psichologinė </w:t>
      </w:r>
      <w:r w:rsidR="009D150F" w:rsidRPr="00600B94">
        <w:t>pagalba būtų kokybiška i</w:t>
      </w:r>
      <w:r>
        <w:t>r efektyvi, tiek kontaktiniu, tiek nekontaktiniu būdu.</w:t>
      </w:r>
    </w:p>
    <w:p w:rsidR="00092196" w:rsidRDefault="00DA36CA" w:rsidP="00BD25FB">
      <w:pPr>
        <w:pStyle w:val="LentelsNr0"/>
        <w:ind w:firstLine="1296"/>
      </w:pPr>
      <w:r>
        <w:t xml:space="preserve"> Ateinančius metus</w:t>
      </w:r>
      <w:r w:rsidR="00882B85">
        <w:t xml:space="preserve"> esame išsikėlę uždavinį </w:t>
      </w:r>
      <w:r w:rsidR="00882B85" w:rsidRPr="00882B85">
        <w:t xml:space="preserve"> </w:t>
      </w:r>
      <w:r w:rsidR="00882B85">
        <w:t>parengti klausimyną „Pagalbos gerinimas specialiųjų ugdymosi poreikių mokiniams mokykloje ir namuose“ ir apklausti mokytojus, specialistus, tėvus siekiant išsiaiškinti teikiamos pagalbos efektyvumą, pagalba psichologinių sunkumų turintiems vaik</w:t>
      </w:r>
      <w:r w:rsidR="004E0BC3">
        <w:t xml:space="preserve">ams, nukentėjusiems nuo </w:t>
      </w:r>
      <w:proofErr w:type="spellStart"/>
      <w:r w:rsidR="004E0BC3">
        <w:t>Covid</w:t>
      </w:r>
      <w:proofErr w:type="spellEnd"/>
      <w:r w:rsidR="004E0BC3">
        <w:t>, s</w:t>
      </w:r>
      <w:r w:rsidR="00882B85">
        <w:t xml:space="preserve">iekiant sudaryti sąlygas veiksmingam </w:t>
      </w:r>
      <w:proofErr w:type="spellStart"/>
      <w:r w:rsidR="00882B85">
        <w:t>įtraukiąjam</w:t>
      </w:r>
      <w:proofErr w:type="spellEnd"/>
      <w:r w:rsidR="00882B85">
        <w:t xml:space="preserve"> ugdymui, įvertinamas paslaugų ir pagalbos poreikis vaikui, jo tėvams ir siekiama užsikrinti koordinuotai teikiamos švietimo pagalbos paslaugų teikimą</w:t>
      </w:r>
      <w:r w:rsidR="004E0BC3">
        <w:t>.</w:t>
      </w:r>
    </w:p>
    <w:p w:rsidR="00092196" w:rsidRDefault="00092196" w:rsidP="00377A50">
      <w:pPr>
        <w:sectPr w:rsidR="00092196" w:rsidSect="00092196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</w:sectPr>
      </w:pPr>
    </w:p>
    <w:p w:rsidR="00377A50" w:rsidRDefault="00377A50" w:rsidP="00461A6C">
      <w:pPr>
        <w:jc w:val="center"/>
        <w:rPr>
          <w:lang w:eastAsia="ar-SA"/>
        </w:rPr>
      </w:pPr>
      <w:r w:rsidRPr="006713E2">
        <w:rPr>
          <w:lang w:eastAsia="ar-SA"/>
        </w:rPr>
        <w:lastRenderedPageBreak/>
        <w:t>Skuodo rajono savivaldybės</w:t>
      </w:r>
      <w:r w:rsidR="00D4526B">
        <w:rPr>
          <w:lang w:eastAsia="ar-SA"/>
        </w:rPr>
        <w:t xml:space="preserve"> pedagoginės psichologinės tarn</w:t>
      </w:r>
      <w:r w:rsidR="00766191">
        <w:rPr>
          <w:lang w:eastAsia="ar-SA"/>
        </w:rPr>
        <w:t>ybos</w:t>
      </w:r>
      <w:r w:rsidR="004E0BC3">
        <w:rPr>
          <w:lang w:eastAsia="ar-SA"/>
        </w:rPr>
        <w:t xml:space="preserve"> </w:t>
      </w:r>
      <w:r w:rsidRPr="006713E2">
        <w:rPr>
          <w:lang w:eastAsia="ar-SA"/>
        </w:rPr>
        <w:t>metinės veiklos ataskaitos</w:t>
      </w:r>
      <w:r>
        <w:rPr>
          <w:lang w:eastAsia="ar-SA"/>
        </w:rPr>
        <w:t xml:space="preserve"> priedas</w:t>
      </w:r>
    </w:p>
    <w:p w:rsidR="00377A50" w:rsidRDefault="00377A50" w:rsidP="00377A50">
      <w:pPr>
        <w:jc w:val="right"/>
        <w:rPr>
          <w:lang w:eastAsia="ar-SA"/>
        </w:rPr>
      </w:pPr>
    </w:p>
    <w:p w:rsidR="00377A50" w:rsidRPr="00B22532" w:rsidRDefault="00377A50" w:rsidP="00377A50">
      <w:pPr>
        <w:spacing w:after="160" w:line="259" w:lineRule="auto"/>
        <w:jc w:val="center"/>
        <w:rPr>
          <w:rFonts w:eastAsia="Calibri"/>
          <w:b/>
          <w:bCs/>
        </w:rPr>
      </w:pPr>
      <w:r w:rsidRPr="00B22532">
        <w:rPr>
          <w:rFonts w:eastAsia="Calibri"/>
          <w:b/>
          <w:bCs/>
        </w:rPr>
        <w:t>VERTINIMO KRITERIJŲ ĮGYVENDINIMO ANALIZĖ</w:t>
      </w:r>
    </w:p>
    <w:p w:rsidR="00377A50" w:rsidRDefault="00377A50" w:rsidP="00377A5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021"/>
        <w:gridCol w:w="1134"/>
        <w:gridCol w:w="992"/>
        <w:gridCol w:w="4961"/>
        <w:gridCol w:w="1134"/>
        <w:gridCol w:w="851"/>
        <w:gridCol w:w="850"/>
        <w:gridCol w:w="709"/>
        <w:gridCol w:w="1134"/>
        <w:gridCol w:w="1276"/>
      </w:tblGrid>
      <w:tr w:rsidR="00187FD9" w:rsidRPr="009E102D" w:rsidTr="003D2B8F">
        <w:trPr>
          <w:trHeight w:val="553"/>
        </w:trPr>
        <w:tc>
          <w:tcPr>
            <w:tcW w:w="110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Strateginio tikslo kodas</w:t>
            </w:r>
          </w:p>
        </w:tc>
        <w:tc>
          <w:tcPr>
            <w:tcW w:w="102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Programos kodas</w:t>
            </w:r>
          </w:p>
        </w:tc>
        <w:tc>
          <w:tcPr>
            <w:tcW w:w="1134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Programos tikslo kodas</w:t>
            </w:r>
          </w:p>
        </w:tc>
        <w:tc>
          <w:tcPr>
            <w:tcW w:w="992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E102D">
              <w:rPr>
                <w:rFonts w:eastAsia="Calibri"/>
                <w:bCs/>
                <w:sz w:val="18"/>
                <w:szCs w:val="18"/>
              </w:rPr>
              <w:t>Uždavinio kodas</w:t>
            </w:r>
          </w:p>
        </w:tc>
        <w:tc>
          <w:tcPr>
            <w:tcW w:w="4961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Vertinimo kriterijaus pavadinimas</w:t>
            </w:r>
          </w:p>
        </w:tc>
        <w:tc>
          <w:tcPr>
            <w:tcW w:w="1134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 w:rsidRPr="009E102D">
              <w:rPr>
                <w:rFonts w:eastAsia="Calibri"/>
                <w:bCs/>
                <w:sz w:val="20"/>
              </w:rPr>
              <w:t xml:space="preserve">Vertinimo kriterijaus kodas </w:t>
            </w:r>
          </w:p>
        </w:tc>
        <w:tc>
          <w:tcPr>
            <w:tcW w:w="2410" w:type="dxa"/>
            <w:gridSpan w:val="3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Faktiniai duomenys </w:t>
            </w:r>
          </w:p>
        </w:tc>
        <w:tc>
          <w:tcPr>
            <w:tcW w:w="1134" w:type="dxa"/>
            <w:vMerge w:val="restart"/>
            <w:vAlign w:val="center"/>
          </w:tcPr>
          <w:p w:rsidR="00187FD9" w:rsidRDefault="00D4526B" w:rsidP="00411C38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202</w:t>
            </w:r>
            <w:r w:rsidR="00B84DDF">
              <w:rPr>
                <w:rFonts w:eastAsia="Calibri"/>
                <w:bCs/>
                <w:sz w:val="20"/>
              </w:rPr>
              <w:t>0</w:t>
            </w:r>
            <w:r w:rsidR="00187FD9">
              <w:rPr>
                <w:rFonts w:eastAsia="Calibri"/>
                <w:bCs/>
                <w:sz w:val="20"/>
              </w:rPr>
              <w:t xml:space="preserve"> m. planas</w:t>
            </w:r>
          </w:p>
          <w:p w:rsidR="00187FD9" w:rsidRPr="00BF4855" w:rsidRDefault="00187FD9" w:rsidP="00411C38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Įvykdymas, proc. </w:t>
            </w:r>
          </w:p>
        </w:tc>
      </w:tr>
      <w:tr w:rsidR="00187FD9" w:rsidRPr="009E102D" w:rsidTr="003D2B8F">
        <w:trPr>
          <w:trHeight w:val="555"/>
        </w:trPr>
        <w:tc>
          <w:tcPr>
            <w:tcW w:w="1101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187FD9" w:rsidRDefault="00187FD9" w:rsidP="00411C3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187FD9" w:rsidRDefault="00D70333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2018</w:t>
            </w:r>
            <w:r w:rsidR="002C75AD">
              <w:rPr>
                <w:rFonts w:eastAsia="Calibri"/>
                <w:bCs/>
                <w:sz w:val="20"/>
              </w:rPr>
              <w:t xml:space="preserve"> m. </w:t>
            </w:r>
          </w:p>
        </w:tc>
        <w:tc>
          <w:tcPr>
            <w:tcW w:w="850" w:type="dxa"/>
            <w:vAlign w:val="center"/>
          </w:tcPr>
          <w:p w:rsidR="00187FD9" w:rsidRDefault="00D70333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2019</w:t>
            </w:r>
            <w:r w:rsidR="002C75AD">
              <w:rPr>
                <w:rFonts w:eastAsia="Calibri"/>
                <w:bCs/>
                <w:sz w:val="20"/>
              </w:rPr>
              <w:t xml:space="preserve"> m. </w:t>
            </w:r>
          </w:p>
        </w:tc>
        <w:tc>
          <w:tcPr>
            <w:tcW w:w="709" w:type="dxa"/>
            <w:vAlign w:val="center"/>
          </w:tcPr>
          <w:p w:rsidR="00187FD9" w:rsidRPr="009E102D" w:rsidRDefault="00D70333" w:rsidP="00411C3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2020</w:t>
            </w:r>
            <w:r w:rsidR="002C75AD">
              <w:rPr>
                <w:rFonts w:eastAsia="Calibri"/>
                <w:bCs/>
                <w:sz w:val="20"/>
              </w:rPr>
              <w:t xml:space="preserve">m. </w:t>
            </w:r>
          </w:p>
        </w:tc>
        <w:tc>
          <w:tcPr>
            <w:tcW w:w="1134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7FD9" w:rsidRPr="009E102D" w:rsidRDefault="00187FD9" w:rsidP="00411C38">
            <w:pPr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B921C6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B921C6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1E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Pagalbos mokiniui specialistų skaičiaus pokytis, vnt.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1E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E1588" w:rsidRPr="001D5181">
              <w:rPr>
                <w:sz w:val="20"/>
                <w:szCs w:val="20"/>
              </w:rPr>
              <w:t>-1-</w:t>
            </w:r>
            <w:r>
              <w:rPr>
                <w:sz w:val="20"/>
                <w:szCs w:val="20"/>
              </w:rPr>
              <w:t>2-1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9C" w:rsidRPr="001D5181" w:rsidRDefault="0050588F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50588F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4C9C" w:rsidRDefault="0050588F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1588" w:rsidRPr="00CA4F6F" w:rsidRDefault="0050588F" w:rsidP="002A5F9F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E1588" w:rsidRPr="00994C9C" w:rsidRDefault="0050588F" w:rsidP="00D4526B">
            <w:pPr>
              <w:rPr>
                <w:rFonts w:eastAsia="Calibri"/>
                <w:bCs/>
                <w:sz w:val="20"/>
                <w:lang w:val="en-US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1E1588" w:rsidRPr="009E102D" w:rsidTr="003D2B8F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B921C6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B921C6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1E1588" w:rsidP="001E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1E1588">
            <w:pPr>
              <w:rPr>
                <w:sz w:val="20"/>
                <w:szCs w:val="20"/>
              </w:rPr>
            </w:pPr>
            <w:r w:rsidRPr="001D5181">
              <w:rPr>
                <w:sz w:val="20"/>
                <w:szCs w:val="20"/>
              </w:rPr>
              <w:t xml:space="preserve">Pritraukta labdaros – paramos lėšų, tūkst. </w:t>
            </w:r>
            <w:proofErr w:type="spellStart"/>
            <w:r w:rsidRPr="001D5181">
              <w:rPr>
                <w:sz w:val="20"/>
                <w:szCs w:val="20"/>
              </w:rPr>
              <w:t>Eur</w:t>
            </w:r>
            <w:proofErr w:type="spellEnd"/>
            <w:r w:rsidRPr="001D5181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1E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R-1-3-1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1E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88" w:rsidRPr="001D5181" w:rsidRDefault="00D4526B" w:rsidP="007B6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709" w:type="dxa"/>
            <w:vAlign w:val="center"/>
          </w:tcPr>
          <w:p w:rsidR="001E1588" w:rsidRDefault="00D4526B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1E1588" w:rsidRPr="00CA4F6F" w:rsidRDefault="00D4526B" w:rsidP="002A5F9F">
            <w:pPr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1E1588" w:rsidRPr="009E102D" w:rsidRDefault="00D4526B" w:rsidP="001E1588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8D06EF">
              <w:rPr>
                <w:rFonts w:eastAsia="Calibri"/>
                <w:sz w:val="18"/>
                <w:szCs w:val="18"/>
              </w:rPr>
              <w:t>00</w:t>
            </w:r>
            <w:r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377A50" w:rsidRDefault="00377A50" w:rsidP="00927AEB">
      <w:pPr>
        <w:tabs>
          <w:tab w:val="left" w:pos="1134"/>
        </w:tabs>
        <w:rPr>
          <w:color w:val="000000"/>
        </w:rPr>
      </w:pPr>
    </w:p>
    <w:sectPr w:rsidR="00377A50" w:rsidSect="00776AF0">
      <w:headerReference w:type="even" r:id="rId11"/>
      <w:headerReference w:type="default" r:id="rId12"/>
      <w:headerReference w:type="first" r:id="rId13"/>
      <w:pgSz w:w="16838" w:h="11906" w:orient="landscape" w:code="9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6B" w:rsidRDefault="00C6156B">
      <w:r>
        <w:separator/>
      </w:r>
    </w:p>
  </w:endnote>
  <w:endnote w:type="continuationSeparator" w:id="0">
    <w:p w:rsidR="00C6156B" w:rsidRDefault="00C6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6B" w:rsidRDefault="00C6156B">
      <w:r>
        <w:separator/>
      </w:r>
    </w:p>
  </w:footnote>
  <w:footnote w:type="continuationSeparator" w:id="0">
    <w:p w:rsidR="00C6156B" w:rsidRDefault="00C6156B">
      <w:r>
        <w:continuationSeparator/>
      </w:r>
    </w:p>
  </w:footnote>
  <w:footnote w:id="1">
    <w:p w:rsidR="00CE3784" w:rsidRDefault="00CE3784" w:rsidP="00CE3784"/>
  </w:footnote>
  <w:footnote w:id="2">
    <w:p w:rsidR="00CE3784" w:rsidRDefault="00CE3784" w:rsidP="00CE3784"/>
  </w:footnote>
  <w:footnote w:id="3">
    <w:p w:rsidR="002A5F9F" w:rsidRDefault="002A5F9F" w:rsidP="002A5F9F">
      <w:pPr>
        <w:pStyle w:val="Puslapioinaostekstas"/>
      </w:pPr>
    </w:p>
  </w:footnote>
  <w:footnote w:id="4">
    <w:p w:rsidR="00160F02" w:rsidRDefault="00160F02" w:rsidP="002A5F9F">
      <w:pPr>
        <w:pStyle w:val="Puslapioinaostekstas"/>
      </w:pPr>
    </w:p>
  </w:footnote>
  <w:footnote w:id="5">
    <w:p w:rsidR="00160F02" w:rsidRDefault="00A51ACE" w:rsidP="00160F02">
      <w:r>
        <w:rPr>
          <w:rStyle w:val="Puslapioinaosnuoroda"/>
        </w:rPr>
        <w:t xml:space="preserve"> </w:t>
      </w:r>
    </w:p>
  </w:footnote>
  <w:footnote w:id="6">
    <w:p w:rsidR="00160F02" w:rsidRDefault="00A51ACE" w:rsidP="00160F02">
      <w:r>
        <w:rPr>
          <w:rStyle w:val="Puslapioinaosnuoroda"/>
        </w:rPr>
        <w:t xml:space="preserve"> </w:t>
      </w:r>
    </w:p>
  </w:footnote>
  <w:footnote w:id="7">
    <w:p w:rsidR="00D4526B" w:rsidRDefault="00D4526B" w:rsidP="00D4526B">
      <w:pPr>
        <w:pStyle w:val="Puslapioinaostekstas"/>
      </w:pPr>
      <w:r>
        <w:t xml:space="preserve">Skaičiuojamos rėmėjų skirtos lėšos, 2 proc. GPM lėšos, labdaros lėšos ir pan.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68" w:rsidRDefault="00CB2D68">
    <w:pPr>
      <w:pStyle w:val="Antrats"/>
      <w:jc w:val="center"/>
    </w:pPr>
  </w:p>
  <w:p w:rsidR="00CB2D68" w:rsidRDefault="00CB2D68" w:rsidP="00181237">
    <w:pPr>
      <w:pStyle w:val="Antrats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68" w:rsidRDefault="00CB2D68" w:rsidP="00E84600">
    <w:pPr>
      <w:pStyle w:val="Antrats"/>
    </w:pPr>
  </w:p>
  <w:p w:rsidR="00CB2D68" w:rsidRDefault="00CB2D68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B2" w:rsidRDefault="0042237A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608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C6156B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B2" w:rsidRDefault="0042237A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608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4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358B2" w:rsidRDefault="00C6156B" w:rsidP="004D1942">
    <w:pPr>
      <w:pStyle w:val="Antrats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39773"/>
      <w:docPartObj>
        <w:docPartGallery w:val="Page Numbers (Top of Page)"/>
        <w:docPartUnique/>
      </w:docPartObj>
    </w:sdtPr>
    <w:sdtContent>
      <w:p w:rsidR="00CB2D68" w:rsidRDefault="0042237A" w:rsidP="00E84600">
        <w:pPr>
          <w:pStyle w:val="Antrats"/>
        </w:pPr>
      </w:p>
    </w:sdtContent>
  </w:sdt>
  <w:p w:rsidR="00CB2D68" w:rsidRDefault="00CB2D68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38D"/>
    <w:multiLevelType w:val="multilevel"/>
    <w:tmpl w:val="D6D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6088"/>
    <w:rsid w:val="000058FE"/>
    <w:rsid w:val="0000639D"/>
    <w:rsid w:val="00026B27"/>
    <w:rsid w:val="00042DEB"/>
    <w:rsid w:val="0005577A"/>
    <w:rsid w:val="0007025F"/>
    <w:rsid w:val="0007068A"/>
    <w:rsid w:val="000766E6"/>
    <w:rsid w:val="00083167"/>
    <w:rsid w:val="000915F7"/>
    <w:rsid w:val="00092196"/>
    <w:rsid w:val="000A4724"/>
    <w:rsid w:val="000B65A3"/>
    <w:rsid w:val="000D20E1"/>
    <w:rsid w:val="000D35E1"/>
    <w:rsid w:val="000E401C"/>
    <w:rsid w:val="000E62B9"/>
    <w:rsid w:val="000F4CC5"/>
    <w:rsid w:val="0011550C"/>
    <w:rsid w:val="0012176B"/>
    <w:rsid w:val="001239A7"/>
    <w:rsid w:val="00137035"/>
    <w:rsid w:val="00141606"/>
    <w:rsid w:val="00143DD0"/>
    <w:rsid w:val="00160F02"/>
    <w:rsid w:val="00172AE1"/>
    <w:rsid w:val="001756F6"/>
    <w:rsid w:val="001761EA"/>
    <w:rsid w:val="00181237"/>
    <w:rsid w:val="00183F74"/>
    <w:rsid w:val="00187FD9"/>
    <w:rsid w:val="001948C5"/>
    <w:rsid w:val="001D2743"/>
    <w:rsid w:val="001E1588"/>
    <w:rsid w:val="001E4023"/>
    <w:rsid w:val="001E66B0"/>
    <w:rsid w:val="001E70E8"/>
    <w:rsid w:val="002113DA"/>
    <w:rsid w:val="00220076"/>
    <w:rsid w:val="002238D2"/>
    <w:rsid w:val="00246053"/>
    <w:rsid w:val="002463FC"/>
    <w:rsid w:val="002465C6"/>
    <w:rsid w:val="00252DD9"/>
    <w:rsid w:val="00260AEE"/>
    <w:rsid w:val="002A5F9F"/>
    <w:rsid w:val="002B5327"/>
    <w:rsid w:val="002C6ADF"/>
    <w:rsid w:val="002C75AD"/>
    <w:rsid w:val="002E205F"/>
    <w:rsid w:val="002E7D74"/>
    <w:rsid w:val="002F0A66"/>
    <w:rsid w:val="002F2E56"/>
    <w:rsid w:val="002F4F96"/>
    <w:rsid w:val="0030169C"/>
    <w:rsid w:val="00301BD6"/>
    <w:rsid w:val="00315DC4"/>
    <w:rsid w:val="00346BCB"/>
    <w:rsid w:val="003555DB"/>
    <w:rsid w:val="00356985"/>
    <w:rsid w:val="003635C0"/>
    <w:rsid w:val="00366205"/>
    <w:rsid w:val="00377A50"/>
    <w:rsid w:val="00384540"/>
    <w:rsid w:val="00390E1F"/>
    <w:rsid w:val="003B08BB"/>
    <w:rsid w:val="003C1352"/>
    <w:rsid w:val="003C2704"/>
    <w:rsid w:val="003D2B8F"/>
    <w:rsid w:val="003D5A1F"/>
    <w:rsid w:val="003E3BDA"/>
    <w:rsid w:val="00401753"/>
    <w:rsid w:val="00403F89"/>
    <w:rsid w:val="004125F6"/>
    <w:rsid w:val="0042237A"/>
    <w:rsid w:val="00433A49"/>
    <w:rsid w:val="00436916"/>
    <w:rsid w:val="00444757"/>
    <w:rsid w:val="004535ED"/>
    <w:rsid w:val="00461A6C"/>
    <w:rsid w:val="004672D4"/>
    <w:rsid w:val="00487621"/>
    <w:rsid w:val="00492DCE"/>
    <w:rsid w:val="004A764E"/>
    <w:rsid w:val="004B1942"/>
    <w:rsid w:val="004D1942"/>
    <w:rsid w:val="004D5163"/>
    <w:rsid w:val="004E0BC3"/>
    <w:rsid w:val="004E5F96"/>
    <w:rsid w:val="004F43EC"/>
    <w:rsid w:val="004F52C2"/>
    <w:rsid w:val="0050588F"/>
    <w:rsid w:val="005120FB"/>
    <w:rsid w:val="00523A88"/>
    <w:rsid w:val="00527D44"/>
    <w:rsid w:val="00581270"/>
    <w:rsid w:val="00582606"/>
    <w:rsid w:val="00585DB5"/>
    <w:rsid w:val="005906AC"/>
    <w:rsid w:val="00591F29"/>
    <w:rsid w:val="0059705E"/>
    <w:rsid w:val="00597DD4"/>
    <w:rsid w:val="005B1CB8"/>
    <w:rsid w:val="005B5F7C"/>
    <w:rsid w:val="005C1C7A"/>
    <w:rsid w:val="005C47BD"/>
    <w:rsid w:val="005E2A9D"/>
    <w:rsid w:val="005E583A"/>
    <w:rsid w:val="00600B94"/>
    <w:rsid w:val="00607684"/>
    <w:rsid w:val="0061014F"/>
    <w:rsid w:val="00612B07"/>
    <w:rsid w:val="00636B97"/>
    <w:rsid w:val="006439D6"/>
    <w:rsid w:val="006706CC"/>
    <w:rsid w:val="00693AF4"/>
    <w:rsid w:val="006A0110"/>
    <w:rsid w:val="006B2956"/>
    <w:rsid w:val="006B6987"/>
    <w:rsid w:val="006B7C92"/>
    <w:rsid w:val="006C560E"/>
    <w:rsid w:val="006C719E"/>
    <w:rsid w:val="006D1514"/>
    <w:rsid w:val="006E1C36"/>
    <w:rsid w:val="006E3AB0"/>
    <w:rsid w:val="0070049D"/>
    <w:rsid w:val="00714921"/>
    <w:rsid w:val="00747BDA"/>
    <w:rsid w:val="00750B0E"/>
    <w:rsid w:val="00752F6E"/>
    <w:rsid w:val="0076086C"/>
    <w:rsid w:val="00766191"/>
    <w:rsid w:val="007720E0"/>
    <w:rsid w:val="007724E1"/>
    <w:rsid w:val="00772874"/>
    <w:rsid w:val="00774576"/>
    <w:rsid w:val="00776AF0"/>
    <w:rsid w:val="007805B3"/>
    <w:rsid w:val="00782E76"/>
    <w:rsid w:val="0078537C"/>
    <w:rsid w:val="007A1901"/>
    <w:rsid w:val="007B1F83"/>
    <w:rsid w:val="007B62BC"/>
    <w:rsid w:val="007E35F6"/>
    <w:rsid w:val="007E3727"/>
    <w:rsid w:val="00801A91"/>
    <w:rsid w:val="008107AC"/>
    <w:rsid w:val="00844D8A"/>
    <w:rsid w:val="008823A7"/>
    <w:rsid w:val="00882B85"/>
    <w:rsid w:val="008A77C8"/>
    <w:rsid w:val="008B1608"/>
    <w:rsid w:val="008B2E2C"/>
    <w:rsid w:val="008B5130"/>
    <w:rsid w:val="008D06EF"/>
    <w:rsid w:val="008E3D58"/>
    <w:rsid w:val="00900693"/>
    <w:rsid w:val="009155F7"/>
    <w:rsid w:val="00927AEB"/>
    <w:rsid w:val="00927D64"/>
    <w:rsid w:val="009500EC"/>
    <w:rsid w:val="0095401B"/>
    <w:rsid w:val="00954BC6"/>
    <w:rsid w:val="00967404"/>
    <w:rsid w:val="00971B84"/>
    <w:rsid w:val="009743DF"/>
    <w:rsid w:val="00984783"/>
    <w:rsid w:val="009914F0"/>
    <w:rsid w:val="00994C9C"/>
    <w:rsid w:val="009A066B"/>
    <w:rsid w:val="009A08EC"/>
    <w:rsid w:val="009A50A3"/>
    <w:rsid w:val="009B0924"/>
    <w:rsid w:val="009B4298"/>
    <w:rsid w:val="009B7E6A"/>
    <w:rsid w:val="009C032A"/>
    <w:rsid w:val="009D150F"/>
    <w:rsid w:val="009E4029"/>
    <w:rsid w:val="009E5C69"/>
    <w:rsid w:val="009F58C9"/>
    <w:rsid w:val="009F6661"/>
    <w:rsid w:val="00A02E70"/>
    <w:rsid w:val="00A10849"/>
    <w:rsid w:val="00A118DE"/>
    <w:rsid w:val="00A356C6"/>
    <w:rsid w:val="00A47945"/>
    <w:rsid w:val="00A51ACE"/>
    <w:rsid w:val="00A536F8"/>
    <w:rsid w:val="00A66B63"/>
    <w:rsid w:val="00A70EFF"/>
    <w:rsid w:val="00A77955"/>
    <w:rsid w:val="00A77C2D"/>
    <w:rsid w:val="00A77FEF"/>
    <w:rsid w:val="00A81209"/>
    <w:rsid w:val="00A83286"/>
    <w:rsid w:val="00A85872"/>
    <w:rsid w:val="00A91AD4"/>
    <w:rsid w:val="00AC4635"/>
    <w:rsid w:val="00AD0328"/>
    <w:rsid w:val="00AD3B65"/>
    <w:rsid w:val="00AE5CDC"/>
    <w:rsid w:val="00AE63EA"/>
    <w:rsid w:val="00AF4CEB"/>
    <w:rsid w:val="00B11144"/>
    <w:rsid w:val="00B12ED5"/>
    <w:rsid w:val="00B1739D"/>
    <w:rsid w:val="00B233F0"/>
    <w:rsid w:val="00B462AD"/>
    <w:rsid w:val="00B7249E"/>
    <w:rsid w:val="00B84DDF"/>
    <w:rsid w:val="00B862CF"/>
    <w:rsid w:val="00B921C6"/>
    <w:rsid w:val="00B9333D"/>
    <w:rsid w:val="00BD25FB"/>
    <w:rsid w:val="00BE15FD"/>
    <w:rsid w:val="00BE3187"/>
    <w:rsid w:val="00BE6978"/>
    <w:rsid w:val="00C04627"/>
    <w:rsid w:val="00C201EC"/>
    <w:rsid w:val="00C6156B"/>
    <w:rsid w:val="00C65D09"/>
    <w:rsid w:val="00C7054C"/>
    <w:rsid w:val="00C711D2"/>
    <w:rsid w:val="00C76260"/>
    <w:rsid w:val="00C80257"/>
    <w:rsid w:val="00CA08F3"/>
    <w:rsid w:val="00CA4CB9"/>
    <w:rsid w:val="00CA4F6F"/>
    <w:rsid w:val="00CB2D68"/>
    <w:rsid w:val="00CC5174"/>
    <w:rsid w:val="00CD2176"/>
    <w:rsid w:val="00CD389B"/>
    <w:rsid w:val="00CE3784"/>
    <w:rsid w:val="00CF2696"/>
    <w:rsid w:val="00CF7C48"/>
    <w:rsid w:val="00D17348"/>
    <w:rsid w:val="00D43FD9"/>
    <w:rsid w:val="00D4526B"/>
    <w:rsid w:val="00D45569"/>
    <w:rsid w:val="00D64481"/>
    <w:rsid w:val="00D70333"/>
    <w:rsid w:val="00D7235C"/>
    <w:rsid w:val="00D85E4D"/>
    <w:rsid w:val="00D978AA"/>
    <w:rsid w:val="00DA36CA"/>
    <w:rsid w:val="00DB0646"/>
    <w:rsid w:val="00DD1536"/>
    <w:rsid w:val="00E040B9"/>
    <w:rsid w:val="00E06695"/>
    <w:rsid w:val="00E15C04"/>
    <w:rsid w:val="00E21568"/>
    <w:rsid w:val="00E25B5E"/>
    <w:rsid w:val="00E30CB4"/>
    <w:rsid w:val="00E34FEE"/>
    <w:rsid w:val="00E44954"/>
    <w:rsid w:val="00E60275"/>
    <w:rsid w:val="00E647FF"/>
    <w:rsid w:val="00E7037D"/>
    <w:rsid w:val="00E719AE"/>
    <w:rsid w:val="00E84600"/>
    <w:rsid w:val="00E90C88"/>
    <w:rsid w:val="00EB0E7B"/>
    <w:rsid w:val="00EB3DE4"/>
    <w:rsid w:val="00EB5429"/>
    <w:rsid w:val="00EB5A02"/>
    <w:rsid w:val="00EB700E"/>
    <w:rsid w:val="00EB74D3"/>
    <w:rsid w:val="00EC141F"/>
    <w:rsid w:val="00EC4337"/>
    <w:rsid w:val="00EC5B14"/>
    <w:rsid w:val="00EC606B"/>
    <w:rsid w:val="00ED01A3"/>
    <w:rsid w:val="00EE00DA"/>
    <w:rsid w:val="00EE51A5"/>
    <w:rsid w:val="00F05CF4"/>
    <w:rsid w:val="00F2577E"/>
    <w:rsid w:val="00F27933"/>
    <w:rsid w:val="00F2793F"/>
    <w:rsid w:val="00F40CE6"/>
    <w:rsid w:val="00F6139B"/>
    <w:rsid w:val="00F6593D"/>
    <w:rsid w:val="00F65C8B"/>
    <w:rsid w:val="00F801B0"/>
    <w:rsid w:val="00F96088"/>
    <w:rsid w:val="00F96BDB"/>
    <w:rsid w:val="00FA2680"/>
    <w:rsid w:val="00FC43D8"/>
    <w:rsid w:val="00FC5AFB"/>
    <w:rsid w:val="00FD6D5A"/>
    <w:rsid w:val="00FE5AE0"/>
    <w:rsid w:val="00FF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"/>
    <w:rsid w:val="00636B97"/>
    <w:rPr>
      <w:i/>
      <w:color w:val="BFBFBF"/>
      <w:sz w:val="24"/>
      <w:szCs w:val="24"/>
    </w:rPr>
  </w:style>
  <w:style w:type="paragraph" w:customStyle="1" w:styleId="LentelsNr0">
    <w:name w:val="Lentelės Nr."/>
    <w:basedOn w:val="prastasis"/>
    <w:link w:val="LentelsNrDiagrama0"/>
    <w:autoRedefine/>
    <w:qFormat/>
    <w:rsid w:val="00600B94"/>
    <w:pPr>
      <w:ind w:firstLine="1298"/>
      <w:jc w:val="both"/>
    </w:pPr>
    <w:rPr>
      <w:rFonts w:eastAsiaTheme="minorHAnsi"/>
      <w:bCs/>
      <w:iCs/>
      <w:lang w:eastAsia="en-US"/>
    </w:rPr>
  </w:style>
  <w:style w:type="character" w:customStyle="1" w:styleId="LentelsNrDiagrama0">
    <w:name w:val="Lentelės Nr. Diagrama"/>
    <w:basedOn w:val="Numatytasispastraiposriftas"/>
    <w:link w:val="LentelsNr0"/>
    <w:rsid w:val="00600B94"/>
    <w:rPr>
      <w:rFonts w:ascii="Times New Roman" w:hAnsi="Times New Roman" w:cs="Times New Roman"/>
      <w:bCs/>
      <w:iCs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Porat">
    <w:name w:val="footer"/>
    <w:basedOn w:val="prastasis"/>
    <w:link w:val="PoratDiagrama"/>
    <w:uiPriority w:val="99"/>
    <w:unhideWhenUsed/>
    <w:rsid w:val="004D19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94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nhideWhenUsed/>
    <w:rsid w:val="00377A50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77A5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377A5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6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60E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5F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5F7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5F7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5F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5F7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Lapas1!$B$1</c:f>
              <c:strCache>
                <c:ptCount val="1"/>
                <c:pt idx="0">
                  <c:v>Planas</c:v>
                </c:pt>
              </c:strCache>
            </c:strRef>
          </c:tx>
          <c:marker>
            <c:symbol val="diamond"/>
            <c:size val="5"/>
          </c:marker>
          <c:cat>
            <c:numRef>
              <c:f>Lapas1!$A$2:$A$7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Lapas1!$B$2:$B$7</c:f>
              <c:numCache>
                <c:formatCode>General</c:formatCode>
                <c:ptCount val="6"/>
                <c:pt idx="0">
                  <c:v>8.0000000000000016E-2</c:v>
                </c:pt>
                <c:pt idx="1">
                  <c:v>8.0000000000000016E-2</c:v>
                </c:pt>
                <c:pt idx="2">
                  <c:v>8.0000000000000016E-2</c:v>
                </c:pt>
                <c:pt idx="3">
                  <c:v>8.0000000000000016E-2</c:v>
                </c:pt>
                <c:pt idx="4">
                  <c:v>8.0000000000000016E-2</c:v>
                </c:pt>
                <c:pt idx="5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3A-452C-BF41-47E0094C337E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Faktas</c:v>
                </c:pt>
              </c:strCache>
            </c:strRef>
          </c:tx>
          <c:marker>
            <c:symbol val="triangle"/>
            <c:size val="5"/>
          </c:marker>
          <c:cat>
            <c:numRef>
              <c:f>Lapas1!$A$2:$A$7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Lapas1!$C$2:$C$7</c:f>
              <c:numCache>
                <c:formatCode>General</c:formatCode>
                <c:ptCount val="6"/>
                <c:pt idx="0">
                  <c:v>8.0000000000000016E-2</c:v>
                </c:pt>
                <c:pt idx="1">
                  <c:v>3.9000000000000007E-2</c:v>
                </c:pt>
                <c:pt idx="2">
                  <c:v>3.9000000000000007E-2</c:v>
                </c:pt>
                <c:pt idx="3">
                  <c:v>0.2</c:v>
                </c:pt>
                <c:pt idx="4">
                  <c:v>0.15000000000000002</c:v>
                </c:pt>
                <c:pt idx="5">
                  <c:v>0.15000000000000002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3A-452C-BF41-47E0094C337E}"/>
            </c:ext>
          </c:extLst>
        </c:ser>
        <c:marker val="1"/>
        <c:axId val="120215808"/>
        <c:axId val="121602048"/>
      </c:lineChart>
      <c:catAx>
        <c:axId val="120215808"/>
        <c:scaling>
          <c:orientation val="minMax"/>
        </c:scaling>
        <c:axPos val="b"/>
        <c:numFmt formatCode="General" sourceLinked="1"/>
        <c:tickLblPos val="nextTo"/>
        <c:crossAx val="121602048"/>
        <c:crosses val="autoZero"/>
        <c:auto val="1"/>
        <c:lblAlgn val="ctr"/>
        <c:lblOffset val="100"/>
      </c:catAx>
      <c:valAx>
        <c:axId val="121602048"/>
        <c:scaling>
          <c:orientation val="minMax"/>
        </c:scaling>
        <c:axPos val="l"/>
        <c:majorGridlines/>
        <c:numFmt formatCode="General" sourceLinked="1"/>
        <c:tickLblPos val="nextTo"/>
        <c:crossAx val="120215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lt-LT"/>
          </a:p>
        </c:txPr>
      </c:dTable>
    </c:plotArea>
    <c:plotVisOnly val="1"/>
    <c:dispBlanksAs val="gap"/>
  </c:chart>
  <c:txPr>
    <a:bodyPr/>
    <a:lstStyle/>
    <a:p>
      <a:pPr>
        <a:defRPr sz="900"/>
      </a:pPr>
      <a:endParaRPr lang="lt-LT"/>
    </a:p>
  </c:txPr>
  <c:externalData r:id="rId2"/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9210-2BC0-46F7-80EE-6CF3B913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4746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ppt</cp:lastModifiedBy>
  <cp:revision>5</cp:revision>
  <cp:lastPrinted>2020-02-05T08:47:00Z</cp:lastPrinted>
  <dcterms:created xsi:type="dcterms:W3CDTF">2021-03-18T08:14:00Z</dcterms:created>
  <dcterms:modified xsi:type="dcterms:W3CDTF">2022-02-21T07:34:00Z</dcterms:modified>
</cp:coreProperties>
</file>